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INVESTMENT THESIS • ONE-PAGER</w:t>
      </w:r>
    </w:p>
    <w:p>
      <w:pPr>
        <w:pStyle w:val="BodyText"/>
      </w:pPr>
      <w:r>
        <w:rPr>
          <w:b/>
          <w:bCs/>
        </w:rPr>
        <w:t xml:space="preserve">Truckstop</w:t>
      </w:r>
    </w:p>
    <w:p>
      <w:pPr>
        <w:pStyle w:val="BodyText"/>
      </w:pPr>
      <w:r>
        <w:rPr>
          <w:i/>
          <w:iCs/>
        </w:rPr>
        <w:t xml:space="preserve">Freight marketplace and workflow software for truckload trucking</w:t>
      </w:r>
    </w:p>
    <w:p>
      <w:pPr>
        <w:pStyle w:val="BodyText"/>
      </w:pPr>
      <w:r>
        <w:rPr>
          <w:b/>
          <w:bCs/>
        </w:rPr>
        <w:t xml:space="preserve">COMPANY SNAPSHOT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Sector</w:t>
            </w:r>
          </w:p>
        </w:tc>
        <w:tc>
          <w:tcPr/>
          <w:p>
            <w:pPr>
              <w:pStyle w:val="Compact"/>
            </w:pPr>
            <w:r>
              <w:t xml:space="preserve">Freight-tech / load-board marketplace / logistics SaaS</w:t>
            </w:r>
          </w:p>
        </w:tc>
      </w:tr>
      <w:tr>
        <w:tc>
          <w:tcPr/>
          <w:p>
            <w:pPr>
              <w:pStyle w:val="Compact"/>
            </w:pPr>
            <w:r>
              <w:rPr>
                <w:b/>
                <w:bCs/>
              </w:rPr>
              <w:t xml:space="preserve">HQ</w:t>
            </w:r>
          </w:p>
        </w:tc>
        <w:tc>
          <w:tcPr/>
          <w:p>
            <w:pPr>
              <w:pStyle w:val="Compact"/>
            </w:pPr>
            <w:r>
              <w:t xml:space="preserve">New Plymouth, Idaho</w:t>
            </w:r>
          </w:p>
        </w:tc>
      </w:tr>
      <w:tr>
        <w:tc>
          <w:tcPr/>
          <w:p>
            <w:pPr>
              <w:pStyle w:val="Compact"/>
            </w:pPr>
            <w:r>
              <w:rPr>
                <w:b/>
                <w:bCs/>
              </w:rPr>
              <w:t xml:space="preserve">Customers</w:t>
            </w:r>
          </w:p>
        </w:tc>
        <w:tc>
          <w:tcPr/>
          <w:p>
            <w:pPr>
              <w:pStyle w:val="Compact"/>
            </w:pPr>
            <w:r>
              <w:t xml:space="preserve">Carriers, owner-operators, freight brokers, and shippers</w:t>
            </w:r>
          </w:p>
        </w:tc>
      </w:tr>
      <w:tr>
        <w:tc>
          <w:tcPr/>
          <w:p>
            <w:pPr>
              <w:pStyle w:val="Compact"/>
            </w:pPr>
            <w:r>
              <w:rPr>
                <w:b/>
                <w:bCs/>
              </w:rPr>
              <w:t xml:space="preserve">Model</w:t>
            </w:r>
          </w:p>
        </w:tc>
        <w:tc>
          <w:tcPr/>
          <w:p>
            <w:pPr>
              <w:pStyle w:val="Compact"/>
            </w:pPr>
            <w:r>
              <w:t xml:space="preserve">Subscription load board + SaaS workflow, payments, factoring, and data/RMIS services</w:t>
            </w:r>
          </w:p>
        </w:tc>
      </w:tr>
      <w:tr>
        <w:tc>
          <w:tcPr/>
          <w:p>
            <w:pPr>
              <w:pStyle w:val="Compact"/>
            </w:pPr>
            <w:r>
              <w:rPr>
                <w:b/>
                <w:bCs/>
              </w:rPr>
              <w:t xml:space="preserve">Signature asset</w:t>
            </w:r>
          </w:p>
        </w:tc>
        <w:tc>
          <w:tcPr/>
          <w:p>
            <w:pPr>
              <w:pStyle w:val="Compact"/>
            </w:pPr>
            <w:r>
              <w:t xml:space="preserve">One of the original freight load boards; deep marketplace liquidity and freight data</w:t>
            </w:r>
          </w:p>
        </w:tc>
      </w:tr>
      <w:tr>
        <w:tc>
          <w:tcPr/>
          <w:p>
            <w:pPr>
              <w:pStyle w:val="Compact"/>
            </w:pPr>
            <w:r>
              <w:rPr>
                <w:b/>
                <w:bCs/>
              </w:rPr>
              <w:t xml:space="preserve">Moat</w:t>
            </w:r>
          </w:p>
        </w:tc>
        <w:tc>
          <w:tcPr/>
          <w:p>
            <w:pPr>
              <w:pStyle w:val="Compact"/>
            </w:pPr>
            <w:r>
              <w:t xml:space="preserve">Two-sided network liquidity; embedded broker/carrier workflow; proprietary rate data</w:t>
            </w:r>
          </w:p>
        </w:tc>
      </w:tr>
    </w:tbl>
    <w:p>
      <w:pPr>
        <w:pStyle w:val="BodyText"/>
      </w:pPr>
      <w:r>
        <w:rPr>
          <w:b/>
          <w:bCs/>
        </w:rPr>
        <w:t xml:space="preserve">BUSINESS</w:t>
      </w:r>
    </w:p>
    <w:p>
      <w:pPr>
        <w:pStyle w:val="BodyText"/>
      </w:pPr>
      <w:r>
        <w:t xml:space="preserve">Truckstop operates a freight marketplace (</w:t>
      </w:r>
      <w:r>
        <w:t xml:space="preserve">“load board”</w:t>
      </w:r>
      <w:r>
        <w:t xml:space="preserve">) that matches available truckload capacity with loads, wrapped in workflow software, payments, factoring, compliance/RMIS, and rate-and-analytics products for carriers, owner-operators, and brokers. It monetizes through subscriptions, transaction and payment services, and data — sitting at the center of the broker-carrier transaction as embedded operating infrastructure.</w:t>
      </w:r>
    </w:p>
    <w:p>
      <w:pPr>
        <w:pStyle w:val="BodyText"/>
      </w:pPr>
      <w:r>
        <w:rPr>
          <w:b/>
          <w:bCs/>
        </w:rPr>
        <w:t xml:space="preserve">INVESTMENT THESIS</w:t>
      </w:r>
    </w:p>
    <w:p>
      <w:pPr>
        <w:pStyle w:val="BodyText"/>
      </w:pPr>
      <w:r>
        <w:t xml:space="preserve">A two-sided freight marketplace evolving into embedded logistics software and payments. The moat is network liquidity plus workflow entrenchment: brokers and carriers run daily operations through the platform, and proprietary rate/transaction data feeds analytics that raise switching costs. The value-creation story is expanding beyond the load-board subscription into higher-take-rate payments, factoring, and data products — re-rating the mix from marketplace toward fintech/SaaS economics. The dominant risk is freight-cycle beta: trucking is deeply cyclical, and a prolonged freight recession compresses carrier counts, load volumes, and the fraud environment that erodes marketplace trust.</w:t>
      </w:r>
    </w:p>
    <w:p>
      <w:pPr>
        <w:pStyle w:val="BodyText"/>
      </w:pPr>
      <w:r>
        <w:rPr>
          <w:b/>
          <w:bCs/>
        </w:rPr>
        <w:t xml:space="preserve">VALUE-CREATION LEVERS</w:t>
      </w:r>
    </w:p>
    <w:p>
      <w:pPr>
        <w:numPr>
          <w:ilvl w:val="0"/>
          <w:numId w:val="1001"/>
        </w:numPr>
      </w:pPr>
      <w:r>
        <w:rPr>
          <w:b/>
          <w:bCs/>
        </w:rPr>
        <w:t xml:space="preserve">Payments &amp; factoring attach:</w:t>
      </w:r>
      <w:r>
        <w:rPr>
          <w:b/>
          <w:bCs/>
        </w:rPr>
        <w:t xml:space="preserve"> </w:t>
      </w:r>
      <w:r>
        <w:t xml:space="preserve">grow embedded payments and factoring take-rate on the transactions already flowing through the marketplace.</w:t>
      </w:r>
    </w:p>
    <w:p>
      <w:pPr>
        <w:numPr>
          <w:ilvl w:val="0"/>
          <w:numId w:val="1001"/>
        </w:numPr>
      </w:pPr>
      <w:r>
        <w:rPr>
          <w:b/>
          <w:bCs/>
        </w:rPr>
        <w:t xml:space="preserve">Data monetization:</w:t>
      </w:r>
      <w:r>
        <w:rPr>
          <w:b/>
          <w:bCs/>
        </w:rPr>
        <w:t xml:space="preserve"> </w:t>
      </w:r>
      <w:r>
        <w:t xml:space="preserve">productize proprietary rate and transaction data into analytics subscriptions distinct from the load board.</w:t>
      </w:r>
    </w:p>
    <w:p>
      <w:pPr>
        <w:numPr>
          <w:ilvl w:val="0"/>
          <w:numId w:val="1001"/>
        </w:numPr>
      </w:pPr>
      <w:r>
        <w:rPr>
          <w:b/>
          <w:bCs/>
        </w:rPr>
        <w:t xml:space="preserve">Workflow entrenchment:</w:t>
      </w:r>
      <w:r>
        <w:rPr>
          <w:b/>
          <w:bCs/>
        </w:rPr>
        <w:t xml:space="preserve"> </w:t>
      </w:r>
      <w:r>
        <w:t xml:space="preserve">deepen broker/carrier SaaS workflow to raise switching costs and net revenue retention.</w:t>
      </w:r>
    </w:p>
    <w:p>
      <w:pPr>
        <w:numPr>
          <w:ilvl w:val="0"/>
          <w:numId w:val="1001"/>
        </w:numPr>
      </w:pPr>
      <w:r>
        <w:rPr>
          <w:b/>
          <w:bCs/>
        </w:rPr>
        <w:t xml:space="preserve">Trust &amp; fraud tooling:</w:t>
      </w:r>
      <w:r>
        <w:rPr>
          <w:b/>
          <w:bCs/>
        </w:rPr>
        <w:t xml:space="preserve"> </w:t>
      </w:r>
      <w:r>
        <w:t xml:space="preserve">invest in identity and fraud prevention as a differentiator that protects marketplace liquidity through down-cycles.</w:t>
      </w:r>
    </w:p>
    <w:p>
      <w:pPr>
        <w:pStyle w:val="FirstParagraph"/>
      </w:pPr>
      <w:r>
        <w:rPr>
          <w:b/>
          <w:bCs/>
        </w:rPr>
        <w:t xml:space="preserve">KEY RISKS</w:t>
      </w:r>
    </w:p>
    <w:p>
      <w:pPr>
        <w:numPr>
          <w:ilvl w:val="0"/>
          <w:numId w:val="1002"/>
        </w:numPr>
      </w:pPr>
      <w:r>
        <w:t xml:space="preserve">Freight-cycle beta: a prolonged trucking recession compresses carrier counts, volumes, and platform activity.</w:t>
      </w:r>
    </w:p>
    <w:p>
      <w:pPr>
        <w:numPr>
          <w:ilvl w:val="0"/>
          <w:numId w:val="1002"/>
        </w:numPr>
      </w:pPr>
      <w:r>
        <w:t xml:space="preserve">Fraud and identity risk in freight marketplaces can erode trust and liquidity if not controlled.</w:t>
      </w:r>
    </w:p>
    <w:p>
      <w:pPr>
        <w:numPr>
          <w:ilvl w:val="0"/>
          <w:numId w:val="1002"/>
        </w:numPr>
      </w:pPr>
      <w:r>
        <w:t xml:space="preserve">Competing load boards and broker TMS platforms contest the same two-sided network.</w:t>
      </w:r>
    </w:p>
    <w:p>
      <w:pPr>
        <w:numPr>
          <w:ilvl w:val="0"/>
          <w:numId w:val="1002"/>
        </w:numPr>
      </w:pPr>
      <w:r>
        <w:t xml:space="preserve">Take-rate expansion depends on carrier/broker adoption of payments and data beyond the core subscription.</w:t>
      </w:r>
    </w:p>
    <w:p>
      <w:pPr>
        <w:pStyle w:val="FirstParagraph"/>
      </w:pPr>
      <w:r>
        <w:rPr>
          <w:b/>
          <w:bCs/>
        </w:rPr>
        <w:t xml:space="preserve">DILIGENCE PRIORITIES</w:t>
      </w:r>
    </w:p>
    <w:p>
      <w:pPr>
        <w:numPr>
          <w:ilvl w:val="0"/>
          <w:numId w:val="1003"/>
        </w:numPr>
      </w:pPr>
      <w:r>
        <w:t xml:space="preserve">Revenue mix: subscription vs. payments/factoring vs. data; growth and margin of each.</w:t>
      </w:r>
    </w:p>
    <w:p>
      <w:pPr>
        <w:numPr>
          <w:ilvl w:val="0"/>
          <w:numId w:val="1003"/>
        </w:numPr>
      </w:pPr>
      <w:r>
        <w:t xml:space="preserve">Net revenue retention and churn through the current freight cycle.</w:t>
      </w:r>
    </w:p>
    <w:p>
      <w:pPr>
        <w:numPr>
          <w:ilvl w:val="0"/>
          <w:numId w:val="1003"/>
        </w:numPr>
      </w:pPr>
      <w:r>
        <w:t xml:space="preserve">Marketplace liquidity metrics and exposure to freight-volume swings.</w:t>
      </w:r>
    </w:p>
    <w:p>
      <w:pPr>
        <w:numPr>
          <w:ilvl w:val="0"/>
          <w:numId w:val="1003"/>
        </w:numPr>
      </w:pPr>
      <w:r>
        <w:t xml:space="preserve">Fraud/identity controls and their effect on trust and retention.</w:t>
      </w:r>
    </w:p>
    <w:p>
      <w:pPr>
        <w:numPr>
          <w:ilvl w:val="0"/>
          <w:numId w:val="1003"/>
        </w:numPr>
      </w:pPr>
      <w:r>
        <w:t xml:space="preserve">Competitive position vs. rival load boards and broker workflow platforms.</w:t>
      </w:r>
    </w:p>
    <w:p>
      <w:pPr>
        <w:pStyle w:val="FirstParagraph"/>
      </w:pPr>
      <w:r>
        <w:rPr>
          <w:b/>
          <w:bCs/>
        </w:rPr>
        <w:t xml:space="preserve">RETURN FRAMING</w:t>
      </w:r>
    </w:p>
    <w:p>
      <w:pPr>
        <w:pStyle w:val="BodyText"/>
      </w:pPr>
      <w:r>
        <w:t xml:space="preserve">A liquid freight marketplace with a credible path into payments and data; the underwrite is cross-cycle resilience plus take-rate expansion against freight beta. Base case underwrites the subscription core plus growing payments/data attach; upside from a fintech/SaaS re-rating as embedded monetization scales; downside is a deep, extended freight recession compressing the network.</w:t>
      </w:r>
    </w:p>
    <w:p>
      <w:pPr>
        <w:pStyle w:val="BodyText"/>
      </w:pPr>
      <w:r>
        <w:t xml:space="preserve">** VERDICT **Liquid marketplace with real payments/data upside; the whole underwrite is freight-cycle beta and take-rate expansion.</w:t>
      </w:r>
    </w:p>
    <w:p>
      <w:pPr>
        <w:pStyle w:val="BodyText"/>
      </w:pPr>
      <w:r>
        <w:rPr>
          <w:i/>
          <w:iCs/>
        </w:rPr>
        <w:t xml:space="preserve">Prepared for demonstration purposes only. This one-pager was generated as an illustrative sample to showcase a standardized investment-thesis format. It is not investment advice, not a recommendation to buy, sell, or hold any security, and not the product of formal due diligence. Company descriptions draw on publicly available sources gathered at the time of creation and may be incomplete, dated, or inaccurate; financial figures are third-party estimates or illustrative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