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INVESTMENT THESIS • ONE-PAGER</w:t>
      </w:r>
    </w:p>
    <w:p>
      <w:pPr>
        <w:pStyle w:val="BodyText"/>
      </w:pPr>
      <w:r>
        <w:rPr>
          <w:b/>
          <w:bCs/>
        </w:rPr>
        <w:t xml:space="preserve">Keystone</w:t>
      </w:r>
    </w:p>
    <w:p>
      <w:pPr>
        <w:pStyle w:val="BodyText"/>
      </w:pPr>
      <w:r>
        <w:rPr>
          <w:i/>
          <w:iCs/>
        </w:rPr>
        <w:t xml:space="preserve">Economics and data-science consulting with a productized-analytics edge</w:t>
      </w:r>
    </w:p>
    <w:p>
      <w:pPr>
        <w:pStyle w:val="BodyText"/>
      </w:pPr>
      <w:r>
        <w:rPr>
          <w:b/>
          <w:bCs/>
        </w:rPr>
        <w:t xml:space="preserve">COMPANY SNAPSHOT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Sector</w:t>
            </w:r>
          </w:p>
        </w:tc>
        <w:tc>
          <w:tcPr/>
          <w:p>
            <w:pPr>
              <w:pStyle w:val="Compact"/>
            </w:pPr>
            <w:r>
              <w:t xml:space="preserve">Economic / data-science consulting &amp; analytics</w:t>
            </w:r>
          </w:p>
        </w:tc>
      </w:tr>
      <w:tr>
        <w:tc>
          <w:tcPr/>
          <w:p>
            <w:pPr>
              <w:pStyle w:val="Compact"/>
            </w:pPr>
            <w:r>
              <w:rPr>
                <w:b/>
                <w:bCs/>
              </w:rPr>
              <w:t xml:space="preserve">Customers</w:t>
            </w:r>
          </w:p>
        </w:tc>
        <w:tc>
          <w:tcPr/>
          <w:p>
            <w:pPr>
              <w:pStyle w:val="Compact"/>
            </w:pPr>
            <w:r>
              <w:t xml:space="preserve">Corporations, law firms, and public-sector clients</w:t>
            </w:r>
          </w:p>
        </w:tc>
      </w:tr>
      <w:tr>
        <w:tc>
          <w:tcPr/>
          <w:p>
            <w:pPr>
              <w:pStyle w:val="Compact"/>
            </w:pPr>
            <w:r>
              <w:rPr>
                <w:b/>
                <w:bCs/>
              </w:rPr>
              <w:t xml:space="preserve">Model</w:t>
            </w:r>
          </w:p>
        </w:tc>
        <w:tc>
          <w:tcPr/>
          <w:p>
            <w:pPr>
              <w:pStyle w:val="Compact"/>
            </w:pPr>
            <w:r>
              <w:t xml:space="preserve">Project-based economic consulting + expert testimony + productized analytics</w:t>
            </w:r>
          </w:p>
        </w:tc>
      </w:tr>
      <w:tr>
        <w:tc>
          <w:tcPr/>
          <w:p>
            <w:pPr>
              <w:pStyle w:val="Compact"/>
            </w:pPr>
            <w:r>
              <w:rPr>
                <w:b/>
                <w:bCs/>
              </w:rPr>
              <w:t xml:space="preserve">Talent base</w:t>
            </w:r>
          </w:p>
        </w:tc>
        <w:tc>
          <w:tcPr/>
          <w:p>
            <w:pPr>
              <w:pStyle w:val="Compact"/>
            </w:pPr>
            <w:r>
              <w:t xml:space="preserve">PhD economists, data scientists, and industry experts</w:t>
            </w:r>
          </w:p>
        </w:tc>
      </w:tr>
      <w:tr>
        <w:tc>
          <w:tcPr/>
          <w:p>
            <w:pPr>
              <w:pStyle w:val="Compact"/>
            </w:pPr>
            <w:r>
              <w:rPr>
                <w:b/>
                <w:bCs/>
              </w:rPr>
              <w:t xml:space="preserve">Moat</w:t>
            </w:r>
          </w:p>
        </w:tc>
        <w:tc>
          <w:tcPr/>
          <w:p>
            <w:pPr>
              <w:pStyle w:val="Compact"/>
            </w:pPr>
            <w:r>
              <w:t xml:space="preserve">Elite analytical talent; methodological rigor; repeat-client relationships</w:t>
            </w:r>
          </w:p>
        </w:tc>
      </w:tr>
    </w:tbl>
    <w:p>
      <w:pPr>
        <w:pStyle w:val="BodyText"/>
      </w:pPr>
      <w:r>
        <w:rPr>
          <w:b/>
          <w:bCs/>
        </w:rPr>
        <w:t xml:space="preserve">BUSINESS</w:t>
      </w:r>
    </w:p>
    <w:p>
      <w:pPr>
        <w:pStyle w:val="BodyText"/>
      </w:pPr>
      <w:r>
        <w:t xml:space="preserve">Keystone is an economics and data-science consultancy that applies rigorous quantitative methods to complex commercial, litigation, and policy questions, delivering analysis, modeling, and expert testimony. Its work spans antitrust and competition, valuation and damages, and applied data science, staffed by PhD-level economists and data scientists and increasingly supported by reusable analytical tooling.</w:t>
      </w:r>
    </w:p>
    <w:p>
      <w:pPr>
        <w:pStyle w:val="BodyText"/>
      </w:pPr>
      <w:r>
        <w:rPr>
          <w:b/>
          <w:bCs/>
        </w:rPr>
        <w:t xml:space="preserve">INVESTMENT THESIS</w:t>
      </w:r>
    </w:p>
    <w:p>
      <w:pPr>
        <w:pStyle w:val="BodyText"/>
      </w:pPr>
      <w:r>
        <w:t xml:space="preserve">A premium expert-services firm with the classic professional-services tension: exceptional margins and defensibility from elite talent, offset by the scalability ceiling of a people-based model. The bull case is that Keystone’s methodological rigor and repeat relationships (especially in litigation and regulatory work, which are non-discretionary and recession-resilient) produce durable, high-value engagements — and that reusable analytical accelerators and productized tooling can lift leverage above pure hourly billing. The bear case is the services trap: revenue that walks with senior experts, utilization-driven margins, and limited operating leverage without genuine IP.</w:t>
      </w:r>
    </w:p>
    <w:p>
      <w:pPr>
        <w:pStyle w:val="BodyText"/>
      </w:pPr>
      <w:r>
        <w:rPr>
          <w:b/>
          <w:bCs/>
        </w:rPr>
        <w:t xml:space="preserve">VALUE-CREATION LEVERS</w:t>
      </w:r>
    </w:p>
    <w:p>
      <w:pPr>
        <w:numPr>
          <w:ilvl w:val="0"/>
          <w:numId w:val="1001"/>
        </w:numPr>
      </w:pPr>
      <w:r>
        <w:rPr>
          <w:b/>
          <w:bCs/>
        </w:rPr>
        <w:t xml:space="preserve">Productize the method:</w:t>
      </w:r>
      <w:r>
        <w:rPr>
          <w:b/>
          <w:bCs/>
        </w:rPr>
        <w:t xml:space="preserve"> </w:t>
      </w:r>
      <w:r>
        <w:t xml:space="preserve">convert reusable models and analytical accelerators into licensable tooling that lifts gross margin above hourly leverage.</w:t>
      </w:r>
    </w:p>
    <w:p>
      <w:pPr>
        <w:numPr>
          <w:ilvl w:val="0"/>
          <w:numId w:val="1001"/>
        </w:numPr>
      </w:pPr>
      <w:r>
        <w:rPr>
          <w:b/>
          <w:bCs/>
        </w:rPr>
        <w:t xml:space="preserve">Recurring/retainer mix:</w:t>
      </w:r>
      <w:r>
        <w:rPr>
          <w:b/>
          <w:bCs/>
        </w:rPr>
        <w:t xml:space="preserve"> </w:t>
      </w:r>
      <w:r>
        <w:t xml:space="preserve">grow retainer and monitoring engagements to add revenue durability to a project-based base.</w:t>
      </w:r>
    </w:p>
    <w:p>
      <w:pPr>
        <w:numPr>
          <w:ilvl w:val="0"/>
          <w:numId w:val="1001"/>
        </w:numPr>
      </w:pPr>
      <w:r>
        <w:rPr>
          <w:b/>
          <w:bCs/>
        </w:rPr>
        <w:t xml:space="preserve">Talent leverage:</w:t>
      </w:r>
      <w:r>
        <w:rPr>
          <w:b/>
          <w:bCs/>
        </w:rPr>
        <w:t xml:space="preserve"> </w:t>
      </w:r>
      <w:r>
        <w:t xml:space="preserve">improve realization and reuse rates so senior-expert hours are amplified rather than replicated engagement-to-engagement.</w:t>
      </w:r>
    </w:p>
    <w:p>
      <w:pPr>
        <w:numPr>
          <w:ilvl w:val="0"/>
          <w:numId w:val="1001"/>
        </w:numPr>
      </w:pPr>
      <w:r>
        <w:rPr>
          <w:b/>
          <w:bCs/>
        </w:rPr>
        <w:t xml:space="preserve">Practice expansion:</w:t>
      </w:r>
      <w:r>
        <w:rPr>
          <w:b/>
          <w:bCs/>
        </w:rPr>
        <w:t xml:space="preserve"> </w:t>
      </w:r>
      <w:r>
        <w:t xml:space="preserve">extend into adjacent high-value data-science and regulatory niches to broaden addressable spend.</w:t>
      </w:r>
    </w:p>
    <w:p>
      <w:pPr>
        <w:pStyle w:val="FirstParagraph"/>
      </w:pPr>
      <w:r>
        <w:rPr>
          <w:b/>
          <w:bCs/>
        </w:rPr>
        <w:t xml:space="preserve">KEY RISKS</w:t>
      </w:r>
    </w:p>
    <w:p>
      <w:pPr>
        <w:numPr>
          <w:ilvl w:val="0"/>
          <w:numId w:val="1002"/>
        </w:numPr>
      </w:pPr>
      <w:r>
        <w:t xml:space="preserve">Services trap: revenue and relationships concentrated in senior experts; key-person risk on transferability.</w:t>
      </w:r>
    </w:p>
    <w:p>
      <w:pPr>
        <w:numPr>
          <w:ilvl w:val="0"/>
          <w:numId w:val="1002"/>
        </w:numPr>
      </w:pPr>
      <w:r>
        <w:t xml:space="preserve">Utilization- and realization-dependent margins; limited operating leverage without IP.</w:t>
      </w:r>
    </w:p>
    <w:p>
      <w:pPr>
        <w:numPr>
          <w:ilvl w:val="0"/>
          <w:numId w:val="1002"/>
        </w:numPr>
      </w:pPr>
      <w:r>
        <w:t xml:space="preserve">Engagement lumpiness tied to litigation, deal, and regulatory cycles.</w:t>
      </w:r>
    </w:p>
    <w:p>
      <w:pPr>
        <w:numPr>
          <w:ilvl w:val="0"/>
          <w:numId w:val="1002"/>
        </w:numPr>
      </w:pPr>
      <w:r>
        <w:t xml:space="preserve">AI may compress portions of analytical labor even as it offers a margin lever.</w:t>
      </w:r>
    </w:p>
    <w:p>
      <w:pPr>
        <w:pStyle w:val="FirstParagraph"/>
      </w:pPr>
      <w:r>
        <w:rPr>
          <w:b/>
          <w:bCs/>
        </w:rPr>
        <w:t xml:space="preserve">DILIGENCE PRIORITIES</w:t>
      </w:r>
    </w:p>
    <w:p>
      <w:pPr>
        <w:numPr>
          <w:ilvl w:val="0"/>
          <w:numId w:val="1003"/>
        </w:numPr>
      </w:pPr>
      <w:r>
        <w:t xml:space="preserve">Revenue durability: project vs. retainer/recurring; repeat-client share.</w:t>
      </w:r>
    </w:p>
    <w:p>
      <w:pPr>
        <w:numPr>
          <w:ilvl w:val="0"/>
          <w:numId w:val="1003"/>
        </w:numPr>
      </w:pPr>
      <w:r>
        <w:t xml:space="preserve">Key-person concentration and the transferability of client relationships.</w:t>
      </w:r>
    </w:p>
    <w:p>
      <w:pPr>
        <w:numPr>
          <w:ilvl w:val="0"/>
          <w:numId w:val="1003"/>
        </w:numPr>
      </w:pPr>
      <w:r>
        <w:t xml:space="preserve">Utilization, realization, and reuse rates across engagements.</w:t>
      </w:r>
    </w:p>
    <w:p>
      <w:pPr>
        <w:numPr>
          <w:ilvl w:val="0"/>
          <w:numId w:val="1003"/>
        </w:numPr>
      </w:pPr>
      <w:r>
        <w:t xml:space="preserve">Whether productized tooling is genuine IP or internal efficiency only.</w:t>
      </w:r>
    </w:p>
    <w:p>
      <w:pPr>
        <w:numPr>
          <w:ilvl w:val="0"/>
          <w:numId w:val="1003"/>
        </w:numPr>
      </w:pPr>
      <w:r>
        <w:t xml:space="preserve">Margin trend as AI absorbs routine analytical work.</w:t>
      </w:r>
    </w:p>
    <w:p>
      <w:pPr>
        <w:pStyle w:val="FirstParagraph"/>
      </w:pPr>
      <w:r>
        <w:rPr>
          <w:b/>
          <w:bCs/>
        </w:rPr>
        <w:t xml:space="preserve">RETURN FRAMING</w:t>
      </w:r>
    </w:p>
    <w:p>
      <w:pPr>
        <w:pStyle w:val="BodyText"/>
      </w:pPr>
      <w:r>
        <w:t xml:space="preserve">A high-quality expert-services asset; the underwrite is whether analytical IP and retainer mix lift it above services multiples. Base case underwrites resilient, high-margin project work in non-discretionary niches; upside from productized tooling and recurring engagements that re-rate a slice toward software/data; downside is the person-dependence and cyclicality inherent to expert services.</w:t>
      </w:r>
    </w:p>
    <w:p>
      <w:pPr>
        <w:pStyle w:val="BodyText"/>
      </w:pPr>
      <w:r>
        <w:t xml:space="preserve">** VERDICT **High-quality expert-services firm; re-rating depends on productized IP and recurring mix, not just billable leverage.</w:t>
      </w:r>
    </w:p>
    <w:p>
      <w:pPr>
        <w:pStyle w:val="BodyText"/>
      </w:pPr>
      <w:r>
        <w:rPr>
          <w:i/>
          <w:iCs/>
        </w:rPr>
        <w:t xml:space="preserve">Prepared for demonstration purposes only. This one-pager was generated as an illustrative sample to showcase a standardized investment-thesis format. It is not investment advice, not a recommendation to buy, sell, or hold any security, and not the product of formal due diligence. Company descriptions draw on publicly available sources gathered at the time of creation and may be incomplete, dated, or inaccurate; financial figures are third-party estimates or illustrative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