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IANS Research</w:t>
      </w:r>
    </w:p>
    <w:p>
      <w:pPr>
        <w:pStyle w:val="BodyText"/>
      </w:pPr>
      <w:r>
        <w:rPr>
          <w:i/>
          <w:iCs/>
        </w:rPr>
        <w:t xml:space="preserve">Decision-support advisory for enterprise information-security leaders</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Cybersecurity research &amp; advisory / practitioner-led decision support</w:t>
            </w:r>
          </w:p>
        </w:tc>
      </w:tr>
      <w:tr>
        <w:tc>
          <w:tcPr/>
          <w:p>
            <w:pPr>
              <w:pStyle w:val="Compact"/>
            </w:pPr>
            <w:r>
              <w:rPr>
                <w:b/>
                <w:bCs/>
              </w:rPr>
              <w:t xml:space="preserve">HQ</w:t>
            </w:r>
          </w:p>
        </w:tc>
        <w:tc>
          <w:tcPr/>
          <w:p>
            <w:pPr>
              <w:pStyle w:val="Compact"/>
            </w:pPr>
            <w:r>
              <w:t xml:space="preserve">Boston, Massachusetts</w:t>
            </w:r>
          </w:p>
        </w:tc>
      </w:tr>
      <w:tr>
        <w:tc>
          <w:tcPr/>
          <w:p>
            <w:pPr>
              <w:pStyle w:val="Compact"/>
            </w:pPr>
            <w:r>
              <w:rPr>
                <w:b/>
                <w:bCs/>
              </w:rPr>
              <w:t xml:space="preserve">Customers</w:t>
            </w:r>
          </w:p>
        </w:tc>
        <w:tc>
          <w:tcPr/>
          <w:p>
            <w:pPr>
              <w:pStyle w:val="Compact"/>
            </w:pPr>
            <w:r>
              <w:t xml:space="preserve">CISOs and enterprise information-security teams</w:t>
            </w:r>
          </w:p>
        </w:tc>
      </w:tr>
      <w:tr>
        <w:tc>
          <w:tcPr/>
          <w:p>
            <w:pPr>
              <w:pStyle w:val="Compact"/>
            </w:pPr>
            <w:r>
              <w:rPr>
                <w:b/>
                <w:bCs/>
              </w:rPr>
              <w:t xml:space="preserve">Model</w:t>
            </w:r>
          </w:p>
        </w:tc>
        <w:tc>
          <w:tcPr/>
          <w:p>
            <w:pPr>
              <w:pStyle w:val="Compact"/>
            </w:pPr>
            <w:r>
              <w:t xml:space="preserve">Subscription advisory (</w:t>
            </w:r>
            <w:r>
              <w:t xml:space="preserve">“Decision Support”</w:t>
            </w:r>
            <w:r>
              <w:t xml:space="preserve">) + a network of practitioner Faculty</w:t>
            </w:r>
          </w:p>
        </w:tc>
      </w:tr>
      <w:tr>
        <w:tc>
          <w:tcPr/>
          <w:p>
            <w:pPr>
              <w:pStyle w:val="Compact"/>
            </w:pPr>
            <w:r>
              <w:rPr>
                <w:b/>
                <w:bCs/>
              </w:rPr>
              <w:t xml:space="preserve">Signature asset</w:t>
            </w:r>
          </w:p>
        </w:tc>
        <w:tc>
          <w:tcPr/>
          <w:p>
            <w:pPr>
              <w:pStyle w:val="Compact"/>
            </w:pPr>
            <w:r>
              <w:t xml:space="preserve">CISO Compensation &amp; Budget Benchmark research</w:t>
            </w:r>
          </w:p>
        </w:tc>
      </w:tr>
      <w:tr>
        <w:tc>
          <w:tcPr/>
          <w:p>
            <w:pPr>
              <w:pStyle w:val="Compact"/>
            </w:pPr>
            <w:r>
              <w:rPr>
                <w:b/>
                <w:bCs/>
              </w:rPr>
              <w:t xml:space="preserve">Moat</w:t>
            </w:r>
          </w:p>
        </w:tc>
        <w:tc>
          <w:tcPr/>
          <w:p>
            <w:pPr>
              <w:pStyle w:val="Compact"/>
            </w:pPr>
            <w:r>
              <w:t xml:space="preserve">Practitioner Faculty network; peer benchmarks; CISO-level trust</w:t>
            </w:r>
          </w:p>
        </w:tc>
      </w:tr>
    </w:tbl>
    <w:p>
      <w:pPr>
        <w:pStyle w:val="BodyText"/>
      </w:pPr>
      <w:r>
        <w:rPr>
          <w:b/>
          <w:bCs/>
        </w:rPr>
        <w:t xml:space="preserve">BUSINESS</w:t>
      </w:r>
    </w:p>
    <w:p>
      <w:pPr>
        <w:pStyle w:val="BodyText"/>
      </w:pPr>
      <w:r>
        <w:t xml:space="preserve">IANS Research provides subscription-based decision-support advisory to enterprise information-security leaders, pairing an in-house research team with a network of practicing security practitioners (</w:t>
      </w:r>
      <w:r>
        <w:t xml:space="preserve">“Faculty”</w:t>
      </w:r>
      <w:r>
        <w:t xml:space="preserve">) who deliver one-on-one guidance, ask-an-expert calls, and custom engagements. It is widely recognized for its annual CISO Compensation and security-budget benchmarking, which anchors the brand at the CISO level and feeds the advisory relationship.</w:t>
      </w:r>
    </w:p>
    <w:p>
      <w:pPr>
        <w:pStyle w:val="BodyText"/>
      </w:pPr>
      <w:r>
        <w:rPr>
          <w:b/>
          <w:bCs/>
        </w:rPr>
        <w:t xml:space="preserve">INVESTMENT THESIS</w:t>
      </w:r>
    </w:p>
    <w:p>
      <w:pPr>
        <w:pStyle w:val="BodyText"/>
      </w:pPr>
      <w:r>
        <w:t xml:space="preserve">A vertical, practitioner-led analyst firm aimed at one of the most durable budget lines in the enterprise: security spend rises through cycles, and CISOs face a continuous stream of high-stakes, hard-to-outsource decisions. The moat is the Faculty model — access to working practitioners rather than career analysts — which is both the differentiator and the constraint. The value-creation story is converting a relationship-and-calls business into always-on subscription with a productized benchmark data layer; the core risk is that advisory quality and retention ride on a distributed roster of part-time experts that is hard to scale without diluting.</w:t>
      </w:r>
    </w:p>
    <w:p>
      <w:pPr>
        <w:pStyle w:val="BodyText"/>
      </w:pPr>
      <w:r>
        <w:rPr>
          <w:b/>
          <w:bCs/>
        </w:rPr>
        <w:t xml:space="preserve">VALUE-CREATION LEVERS</w:t>
      </w:r>
    </w:p>
    <w:p>
      <w:pPr>
        <w:numPr>
          <w:ilvl w:val="0"/>
          <w:numId w:val="1001"/>
        </w:numPr>
      </w:pPr>
      <w:r>
        <w:rPr>
          <w:b/>
          <w:bCs/>
        </w:rPr>
        <w:t xml:space="preserve">Recurring-revenue deepening:</w:t>
      </w:r>
      <w:r>
        <w:rPr>
          <w:b/>
          <w:bCs/>
        </w:rPr>
        <w:t xml:space="preserve"> </w:t>
      </w:r>
      <w:r>
        <w:t xml:space="preserve">shift mix toward always-on Decision Support subscriptions with seat expansion across the security org, lifting net revenue retention.</w:t>
      </w:r>
    </w:p>
    <w:p>
      <w:pPr>
        <w:numPr>
          <w:ilvl w:val="0"/>
          <w:numId w:val="1001"/>
        </w:numPr>
      </w:pPr>
      <w:r>
        <w:rPr>
          <w:b/>
          <w:bCs/>
        </w:rPr>
        <w:t xml:space="preserve">Benchmark data product:</w:t>
      </w:r>
      <w:r>
        <w:rPr>
          <w:b/>
          <w:bCs/>
        </w:rPr>
        <w:t xml:space="preserve"> </w:t>
      </w:r>
      <w:r>
        <w:t xml:space="preserve">productize the CISO compensation/budget benchmarks into a higher-margin, higher-multiple data subscription distinct from labor-based advisory.</w:t>
      </w:r>
    </w:p>
    <w:p>
      <w:pPr>
        <w:numPr>
          <w:ilvl w:val="0"/>
          <w:numId w:val="1001"/>
        </w:numPr>
      </w:pPr>
      <w:r>
        <w:rPr>
          <w:b/>
          <w:bCs/>
        </w:rPr>
        <w:t xml:space="preserve">Faculty leverage:</w:t>
      </w:r>
      <w:r>
        <w:rPr>
          <w:b/>
          <w:bCs/>
        </w:rPr>
        <w:t xml:space="preserve"> </w:t>
      </w:r>
      <w:r>
        <w:t xml:space="preserve">scale and codify the practitioner network so utilization rises without eroding the one-to-one trust that drives renewals.</w:t>
      </w:r>
    </w:p>
    <w:p>
      <w:pPr>
        <w:numPr>
          <w:ilvl w:val="0"/>
          <w:numId w:val="1001"/>
        </w:numPr>
      </w:pPr>
      <w:r>
        <w:rPr>
          <w:b/>
          <w:bCs/>
        </w:rPr>
        <w:t xml:space="preserve">Adjacency expansion:</w:t>
      </w:r>
      <w:r>
        <w:rPr>
          <w:b/>
          <w:bCs/>
        </w:rPr>
        <w:t xml:space="preserve"> </w:t>
      </w:r>
      <w:r>
        <w:t xml:space="preserve">extend from CISO decision support into adjacent security roles and functions (GRC, cloud, identity) to grow addressable seats.</w:t>
      </w:r>
    </w:p>
    <w:p>
      <w:pPr>
        <w:pStyle w:val="FirstParagraph"/>
      </w:pPr>
      <w:r>
        <w:rPr>
          <w:b/>
          <w:bCs/>
        </w:rPr>
        <w:t xml:space="preserve">KEY RISKS</w:t>
      </w:r>
    </w:p>
    <w:p>
      <w:pPr>
        <w:numPr>
          <w:ilvl w:val="0"/>
          <w:numId w:val="1002"/>
        </w:numPr>
      </w:pPr>
      <w:r>
        <w:t xml:space="preserve">Faculty dependence: advisory quality and key-person concentration ride on a distributed roster of practitioners.</w:t>
      </w:r>
    </w:p>
    <w:p>
      <w:pPr>
        <w:numPr>
          <w:ilvl w:val="0"/>
          <w:numId w:val="1002"/>
        </w:numPr>
      </w:pPr>
      <w:r>
        <w:t xml:space="preserve">Advisory margin is labor-dependent absent benchmark/data productization.</w:t>
      </w:r>
    </w:p>
    <w:p>
      <w:pPr>
        <w:numPr>
          <w:ilvl w:val="0"/>
          <w:numId w:val="1002"/>
        </w:numPr>
      </w:pPr>
      <w:r>
        <w:t xml:space="preserve">Vertical concentration ties fortunes to enterprise security-tooling and headcount budgets.</w:t>
      </w:r>
    </w:p>
    <w:p>
      <w:pPr>
        <w:numPr>
          <w:ilvl w:val="0"/>
          <w:numId w:val="1002"/>
        </w:numPr>
      </w:pPr>
      <w:r>
        <w:t xml:space="preserve">Peer networks, horizontal analysts, and free CISO communities compete for the same buyers.</w:t>
      </w:r>
    </w:p>
    <w:p>
      <w:pPr>
        <w:pStyle w:val="FirstParagraph"/>
      </w:pPr>
      <w:r>
        <w:rPr>
          <w:b/>
          <w:bCs/>
        </w:rPr>
        <w:t xml:space="preserve">DILIGENCE PRIORITIES</w:t>
      </w:r>
    </w:p>
    <w:p>
      <w:pPr>
        <w:numPr>
          <w:ilvl w:val="0"/>
          <w:numId w:val="1003"/>
        </w:numPr>
      </w:pPr>
      <w:r>
        <w:t xml:space="preserve">Gross vs. net revenue retention by cohort; share of revenue genuinely recurring vs. project.</w:t>
      </w:r>
    </w:p>
    <w:p>
      <w:pPr>
        <w:numPr>
          <w:ilvl w:val="0"/>
          <w:numId w:val="1003"/>
        </w:numPr>
      </w:pPr>
      <w:r>
        <w:t xml:space="preserve">Faculty utilization, tenure, and concentration; cost-to-serve per subscription.</w:t>
      </w:r>
    </w:p>
    <w:p>
      <w:pPr>
        <w:numPr>
          <w:ilvl w:val="0"/>
          <w:numId w:val="1003"/>
        </w:numPr>
      </w:pPr>
      <w:r>
        <w:t xml:space="preserve">Benchmark/data revenue as a share of total and its growth trajectory.</w:t>
      </w:r>
    </w:p>
    <w:p>
      <w:pPr>
        <w:numPr>
          <w:ilvl w:val="0"/>
          <w:numId w:val="1003"/>
        </w:numPr>
      </w:pPr>
      <w:r>
        <w:t xml:space="preserve">Seat-expansion economics within existing accounts (land-and-expand evidence).</w:t>
      </w:r>
    </w:p>
    <w:p>
      <w:pPr>
        <w:numPr>
          <w:ilvl w:val="0"/>
          <w:numId w:val="1003"/>
        </w:numPr>
      </w:pPr>
      <w:r>
        <w:t xml:space="preserve">CAC payback and the durability of CISO-level relationships through leadership turnover.</w:t>
      </w:r>
    </w:p>
    <w:p>
      <w:pPr>
        <w:pStyle w:val="FirstParagraph"/>
      </w:pPr>
      <w:r>
        <w:rPr>
          <w:b/>
          <w:bCs/>
        </w:rPr>
        <w:t xml:space="preserve">RETURN FRAMING</w:t>
      </w:r>
    </w:p>
    <w:p>
      <w:pPr>
        <w:pStyle w:val="BodyText"/>
      </w:pPr>
      <w:r>
        <w:t xml:space="preserve">Quality recurring advisory anchored to a defensive budget line; the underwrite is whether the Faculty model scales without diluting trust, and whether benchmarks re-rate a slice of revenue toward data multiples. Base case underwrites durable Decision Support subscriptions with net-retention expansion; upside from a benchmark data product and seat growth; downside is bounded by the stickiness of CISO-level advisory but capped if the business stays calls-and-relationships led.</w:t>
      </w:r>
    </w:p>
    <w:p>
      <w:pPr>
        <w:pStyle w:val="BodyText"/>
      </w:pPr>
      <w:r>
        <w:t xml:space="preserve">** VERDICT **Attractive recurring advisory in a defensive vertical IF the Faculty model scales and benchmarks productize; capped if it stays a relationship-and-calls business.</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