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G2</w:t>
      </w:r>
    </w:p>
    <w:p>
      <w:pPr>
        <w:pStyle w:val="BodyText"/>
      </w:pPr>
      <w:r>
        <w:rPr>
          <w:i/>
          <w:iCs/>
        </w:rPr>
        <w:t xml:space="preserve">The software marketplace and peer-review network for B2B buyers</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B2B software marketplace / peer reviews / buyer intent data</w:t>
            </w:r>
          </w:p>
        </w:tc>
      </w:tr>
      <w:tr>
        <w:tc>
          <w:tcPr/>
          <w:p>
            <w:pPr>
              <w:pStyle w:val="Compact"/>
            </w:pPr>
            <w:r>
              <w:rPr>
                <w:b/>
                <w:bCs/>
              </w:rPr>
              <w:t xml:space="preserve">HQ</w:t>
            </w:r>
          </w:p>
        </w:tc>
        <w:tc>
          <w:tcPr/>
          <w:p>
            <w:pPr>
              <w:pStyle w:val="Compact"/>
            </w:pPr>
            <w:r>
              <w:t xml:space="preserve">Chicago, Illinois</w:t>
            </w:r>
          </w:p>
        </w:tc>
      </w:tr>
      <w:tr>
        <w:tc>
          <w:tcPr/>
          <w:p>
            <w:pPr>
              <w:pStyle w:val="Compact"/>
            </w:pPr>
            <w:r>
              <w:rPr>
                <w:b/>
                <w:bCs/>
              </w:rPr>
              <w:t xml:space="preserve">Customers</w:t>
            </w:r>
          </w:p>
        </w:tc>
        <w:tc>
          <w:tcPr/>
          <w:p>
            <w:pPr>
              <w:pStyle w:val="Compact"/>
            </w:pPr>
            <w:r>
              <w:t xml:space="preserve">Software buyers (free) and software vendors (paid)</w:t>
            </w:r>
          </w:p>
        </w:tc>
      </w:tr>
      <w:tr>
        <w:tc>
          <w:tcPr/>
          <w:p>
            <w:pPr>
              <w:pStyle w:val="Compact"/>
            </w:pPr>
            <w:r>
              <w:rPr>
                <w:b/>
                <w:bCs/>
              </w:rPr>
              <w:t xml:space="preserve">Model</w:t>
            </w:r>
          </w:p>
        </w:tc>
        <w:tc>
          <w:tcPr/>
          <w:p>
            <w:pPr>
              <w:pStyle w:val="Compact"/>
            </w:pPr>
            <w:r>
              <w:t xml:space="preserve">Two-sided marketplace: vendor subscriptions, marketing services, and buyer-intent data</w:t>
            </w:r>
          </w:p>
        </w:tc>
      </w:tr>
      <w:tr>
        <w:tc>
          <w:tcPr/>
          <w:p>
            <w:pPr>
              <w:pStyle w:val="Compact"/>
            </w:pPr>
            <w:r>
              <w:rPr>
                <w:b/>
                <w:bCs/>
              </w:rPr>
              <w:t xml:space="preserve">Signature asset</w:t>
            </w:r>
          </w:p>
        </w:tc>
        <w:tc>
          <w:tcPr/>
          <w:p>
            <w:pPr>
              <w:pStyle w:val="Compact"/>
            </w:pPr>
            <w:r>
              <w:t xml:space="preserve">Millions of verified user reviews; the</w:t>
            </w:r>
            <w:r>
              <w:t xml:space="preserve"> </w:t>
            </w:r>
            <w:r>
              <w:t xml:space="preserve">“G2 Grid”</w:t>
            </w:r>
            <w:r>
              <w:t xml:space="preserve"> </w:t>
            </w:r>
            <w:r>
              <w:t xml:space="preserve">and category taxonomy</w:t>
            </w:r>
          </w:p>
        </w:tc>
      </w:tr>
      <w:tr>
        <w:tc>
          <w:tcPr/>
          <w:p>
            <w:pPr>
              <w:pStyle w:val="Compact"/>
            </w:pPr>
            <w:r>
              <w:rPr>
                <w:b/>
                <w:bCs/>
              </w:rPr>
              <w:t xml:space="preserve">Moat</w:t>
            </w:r>
          </w:p>
        </w:tc>
        <w:tc>
          <w:tcPr/>
          <w:p>
            <w:pPr>
              <w:pStyle w:val="Compact"/>
            </w:pPr>
            <w:r>
              <w:t xml:space="preserve">Network effects; SEO/traffic authority; proprietary review and intent dataset</w:t>
            </w:r>
          </w:p>
        </w:tc>
      </w:tr>
    </w:tbl>
    <w:p>
      <w:pPr>
        <w:pStyle w:val="BodyText"/>
      </w:pPr>
      <w:r>
        <w:rPr>
          <w:b/>
          <w:bCs/>
        </w:rPr>
        <w:t xml:space="preserve">BUSINESS</w:t>
      </w:r>
    </w:p>
    <w:p>
      <w:pPr>
        <w:pStyle w:val="BodyText"/>
      </w:pPr>
      <w:r>
        <w:t xml:space="preserve">G2 operates a two-sided B2B software marketplace where buyers research and compare products through verified peer reviews and category rankings, and vendors pay for profile, marketing, lead-generation, and buyer-intent data services. Its accumulated review corpus and category taxonomy drive substantial organic traffic, which in turn feeds the intent and demand-generation products it sells to vendors.</w:t>
      </w:r>
    </w:p>
    <w:p>
      <w:pPr>
        <w:pStyle w:val="BodyText"/>
      </w:pPr>
      <w:r>
        <w:rPr>
          <w:b/>
          <w:bCs/>
        </w:rPr>
        <w:t xml:space="preserve">INVESTMENT THESIS</w:t>
      </w:r>
    </w:p>
    <w:p>
      <w:pPr>
        <w:pStyle w:val="BodyText"/>
      </w:pPr>
      <w:r>
        <w:t xml:space="preserve">A network-effects marketplace sitting on a proprietary dataset the whole B2B software industry references. The moat is self-reinforcing: reviews attract buyer traffic, traffic attracts vendors, vendor participation and buyer activity generate more reviews and intent signal. The high-value monetization is buyer-intent data — knowing which accounts are in-market — which plugs directly into vendor go-to-market and carries software/data economics. The core risks are two-sided marketplace fragility (review integrity and buyer trust must be protected as vendors pay), dependence on search/traffic dynamics increasingly disrupted by AI answer engines, and a vendor-marketing budget base that is cyclical.</w:t>
      </w:r>
    </w:p>
    <w:p>
      <w:pPr>
        <w:pStyle w:val="BodyText"/>
      </w:pPr>
      <w:r>
        <w:rPr>
          <w:b/>
          <w:bCs/>
        </w:rPr>
        <w:t xml:space="preserve">VALUE-CREATION LEVERS</w:t>
      </w:r>
    </w:p>
    <w:p>
      <w:pPr>
        <w:numPr>
          <w:ilvl w:val="0"/>
          <w:numId w:val="1001"/>
        </w:numPr>
      </w:pPr>
      <w:r>
        <w:rPr>
          <w:b/>
          <w:bCs/>
        </w:rPr>
        <w:t xml:space="preserve">Intent-data monetization:</w:t>
      </w:r>
      <w:r>
        <w:rPr>
          <w:b/>
          <w:bCs/>
        </w:rPr>
        <w:t xml:space="preserve"> </w:t>
      </w:r>
      <w:r>
        <w:t xml:space="preserve">grow the buyer-intent and demand-signal products, the highest-margin, most defensible revenue line, and deepen integration into vendor GTM stacks.</w:t>
      </w:r>
    </w:p>
    <w:p>
      <w:pPr>
        <w:numPr>
          <w:ilvl w:val="0"/>
          <w:numId w:val="1001"/>
        </w:numPr>
      </w:pPr>
      <w:r>
        <w:rPr>
          <w:b/>
          <w:bCs/>
        </w:rPr>
        <w:t xml:space="preserve">Marketplace liquidity:</w:t>
      </w:r>
      <w:r>
        <w:rPr>
          <w:b/>
          <w:bCs/>
        </w:rPr>
        <w:t xml:space="preserve"> </w:t>
      </w:r>
      <w:r>
        <w:t xml:space="preserve">compound the review-and-traffic flywheel to widen the network-effect moat against challengers.</w:t>
      </w:r>
    </w:p>
    <w:p>
      <w:pPr>
        <w:numPr>
          <w:ilvl w:val="0"/>
          <w:numId w:val="1001"/>
        </w:numPr>
      </w:pPr>
      <w:r>
        <w:rPr>
          <w:b/>
          <w:bCs/>
        </w:rPr>
        <w:t xml:space="preserve">AI-search resilience:</w:t>
      </w:r>
      <w:r>
        <w:rPr>
          <w:b/>
          <w:bCs/>
        </w:rPr>
        <w:t xml:space="preserve"> </w:t>
      </w:r>
      <w:r>
        <w:t xml:space="preserve">position the dataset as the trusted source layer for AI buyer-research tools rather than a casualty of them.</w:t>
      </w:r>
    </w:p>
    <w:p>
      <w:pPr>
        <w:numPr>
          <w:ilvl w:val="0"/>
          <w:numId w:val="1001"/>
        </w:numPr>
      </w:pPr>
      <w:r>
        <w:rPr>
          <w:b/>
          <w:bCs/>
        </w:rPr>
        <w:t xml:space="preserve">International &amp; category expansion:</w:t>
      </w:r>
      <w:r>
        <w:rPr>
          <w:b/>
          <w:bCs/>
        </w:rPr>
        <w:t xml:space="preserve"> </w:t>
      </w:r>
      <w:r>
        <w:t xml:space="preserve">extend category taxonomy and language coverage to grow addressable vendor spend.</w:t>
      </w:r>
    </w:p>
    <w:p>
      <w:pPr>
        <w:pStyle w:val="FirstParagraph"/>
      </w:pPr>
      <w:r>
        <w:rPr>
          <w:b/>
          <w:bCs/>
        </w:rPr>
        <w:t xml:space="preserve">KEY RISKS</w:t>
      </w:r>
    </w:p>
    <w:p>
      <w:pPr>
        <w:numPr>
          <w:ilvl w:val="0"/>
          <w:numId w:val="1002"/>
        </w:numPr>
      </w:pPr>
      <w:r>
        <w:t xml:space="preserve">Traffic dependence: AI answer engines and shifting search behavior could disintermediate the buyer-research funnel.</w:t>
      </w:r>
    </w:p>
    <w:p>
      <w:pPr>
        <w:numPr>
          <w:ilvl w:val="0"/>
          <w:numId w:val="1002"/>
        </w:numPr>
      </w:pPr>
      <w:r>
        <w:t xml:space="preserve">Review integrity and buyer trust must be protected while vendors are the paying side — a structural conflict.</w:t>
      </w:r>
    </w:p>
    <w:p>
      <w:pPr>
        <w:numPr>
          <w:ilvl w:val="0"/>
          <w:numId w:val="1002"/>
        </w:numPr>
      </w:pPr>
      <w:r>
        <w:t xml:space="preserve">Vendor marketing budgets are cyclical; a software-spending downturn compresses the paying base.</w:t>
      </w:r>
    </w:p>
    <w:p>
      <w:pPr>
        <w:numPr>
          <w:ilvl w:val="0"/>
          <w:numId w:val="1002"/>
        </w:numPr>
      </w:pPr>
      <w:r>
        <w:t xml:space="preserve">Competing review sites and analyst-adjacent players contest the same vendor budgets.</w:t>
      </w:r>
    </w:p>
    <w:p>
      <w:pPr>
        <w:pStyle w:val="FirstParagraph"/>
      </w:pPr>
      <w:r>
        <w:rPr>
          <w:b/>
          <w:bCs/>
        </w:rPr>
        <w:t xml:space="preserve">DILIGENCE PRIORITIES</w:t>
      </w:r>
    </w:p>
    <w:p>
      <w:pPr>
        <w:numPr>
          <w:ilvl w:val="0"/>
          <w:numId w:val="1003"/>
        </w:numPr>
      </w:pPr>
      <w:r>
        <w:t xml:space="preserve">Revenue mix: profile/marketing vs. buyer-intent data; growth and retention of the intent line.</w:t>
      </w:r>
    </w:p>
    <w:p>
      <w:pPr>
        <w:numPr>
          <w:ilvl w:val="0"/>
          <w:numId w:val="1003"/>
        </w:numPr>
      </w:pPr>
      <w:r>
        <w:t xml:space="preserve">Traffic sources and exposure to search-algorithm and AI-answer-engine disruption.</w:t>
      </w:r>
    </w:p>
    <w:p>
      <w:pPr>
        <w:numPr>
          <w:ilvl w:val="0"/>
          <w:numId w:val="1003"/>
        </w:numPr>
      </w:pPr>
      <w:r>
        <w:t xml:space="preserve">Net revenue retention and logo churn on the vendor side through budget cycles.</w:t>
      </w:r>
    </w:p>
    <w:p>
      <w:pPr>
        <w:numPr>
          <w:ilvl w:val="0"/>
          <w:numId w:val="1003"/>
        </w:numPr>
      </w:pPr>
      <w:r>
        <w:t xml:space="preserve">Review-integrity controls and any buyer-trust erosion signals.</w:t>
      </w:r>
    </w:p>
    <w:p>
      <w:pPr>
        <w:numPr>
          <w:ilvl w:val="0"/>
          <w:numId w:val="1003"/>
        </w:numPr>
      </w:pPr>
      <w:r>
        <w:t xml:space="preserve">Data-asset defensibility and the durability of network effects vs. challengers.</w:t>
      </w:r>
    </w:p>
    <w:p>
      <w:pPr>
        <w:pStyle w:val="FirstParagraph"/>
      </w:pPr>
      <w:r>
        <w:rPr>
          <w:b/>
          <w:bCs/>
        </w:rPr>
        <w:t xml:space="preserve">RETURN FRAMING</w:t>
      </w:r>
    </w:p>
    <w:p>
      <w:pPr>
        <w:pStyle w:val="BodyText"/>
      </w:pPr>
      <w:r>
        <w:t xml:space="preserve">A marketplace with a genuine data moat; the underwrite is whether intent-data monetization compounds faster than traffic dynamics erode. Base case underwrites the vendor-subscription base plus growing intent-data revenue; upside from intent-data becoming the industry GTM signal layer and AI-search resilience; downside is traffic disintermediation and cyclical vendor budgets compressing the flywheel.</w:t>
      </w:r>
    </w:p>
    <w:p>
      <w:pPr>
        <w:pStyle w:val="BodyText"/>
      </w:pPr>
      <w:r>
        <w:t xml:space="preserve">** VERDICT **Genuine network-effects data moat; the whole question is whether intent-data monetization outpaces AI-driven traffic disruption.</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