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INVESTMENT THESIS • ONE-PAGER</w:t>
      </w:r>
    </w:p>
    <w:p>
      <w:pPr>
        <w:pStyle w:val="BodyText"/>
      </w:pPr>
      <w:r>
        <w:rPr>
          <w:b/>
          <w:bCs/>
        </w:rPr>
        <w:t xml:space="preserve">ExecOnline</w:t>
      </w:r>
    </w:p>
    <w:p>
      <w:pPr>
        <w:pStyle w:val="BodyText"/>
      </w:pPr>
      <w:r>
        <w:rPr>
          <w:i/>
          <w:iCs/>
        </w:rPr>
        <w:t xml:space="preserve">Enterprise leadership development delivered with top business schools</w:t>
      </w:r>
    </w:p>
    <w:p>
      <w:pPr>
        <w:pStyle w:val="BodyText"/>
      </w:pPr>
      <w:r>
        <w:rPr>
          <w:b/>
          <w:bCs/>
        </w:rPr>
        <w:t xml:space="preserve">COMPANY SNAPSHOT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Sector</w:t>
            </w:r>
          </w:p>
        </w:tc>
        <w:tc>
          <w:tcPr/>
          <w:p>
            <w:pPr>
              <w:pStyle w:val="Compact"/>
            </w:pPr>
            <w:r>
              <w:t xml:space="preserve">Corporate learning / leadership development / education technology</w:t>
            </w:r>
          </w:p>
        </w:tc>
      </w:tr>
      <w:tr>
        <w:tc>
          <w:tcPr/>
          <w:p>
            <w:pPr>
              <w:pStyle w:val="Compact"/>
            </w:pPr>
            <w:r>
              <w:rPr>
                <w:b/>
                <w:bCs/>
              </w:rPr>
              <w:t xml:space="preserve">HQ</w:t>
            </w:r>
          </w:p>
        </w:tc>
        <w:tc>
          <w:tcPr/>
          <w:p>
            <w:pPr>
              <w:pStyle w:val="Compact"/>
            </w:pPr>
            <w:r>
              <w:t xml:space="preserve">New York, New York</w:t>
            </w:r>
          </w:p>
        </w:tc>
      </w:tr>
      <w:tr>
        <w:tc>
          <w:tcPr/>
          <w:p>
            <w:pPr>
              <w:pStyle w:val="Compact"/>
            </w:pPr>
            <w:r>
              <w:rPr>
                <w:b/>
                <w:bCs/>
              </w:rPr>
              <w:t xml:space="preserve">Customers</w:t>
            </w:r>
          </w:p>
        </w:tc>
        <w:tc>
          <w:tcPr/>
          <w:p>
            <w:pPr>
              <w:pStyle w:val="Compact"/>
            </w:pPr>
            <w:r>
              <w:t xml:space="preserve">Large enterprises (HR/L&amp;D and business leaders)</w:t>
            </w:r>
          </w:p>
        </w:tc>
      </w:tr>
      <w:tr>
        <w:tc>
          <w:tcPr/>
          <w:p>
            <w:pPr>
              <w:pStyle w:val="Compact"/>
            </w:pPr>
            <w:r>
              <w:rPr>
                <w:b/>
                <w:bCs/>
              </w:rPr>
              <w:t xml:space="preserve">Model</w:t>
            </w:r>
          </w:p>
        </w:tc>
        <w:tc>
          <w:tcPr/>
          <w:p>
            <w:pPr>
              <w:pStyle w:val="Compact"/>
            </w:pPr>
            <w:r>
              <w:t xml:space="preserve">Subscription/enterprise contracts for cohort-based leadership programs at scale</w:t>
            </w:r>
          </w:p>
        </w:tc>
      </w:tr>
      <w:tr>
        <w:tc>
          <w:tcPr/>
          <w:p>
            <w:pPr>
              <w:pStyle w:val="Compact"/>
            </w:pPr>
            <w:r>
              <w:rPr>
                <w:b/>
                <w:bCs/>
              </w:rPr>
              <w:t xml:space="preserve">Signature asset</w:t>
            </w:r>
          </w:p>
        </w:tc>
        <w:tc>
          <w:tcPr/>
          <w:p>
            <w:pPr>
              <w:pStyle w:val="Compact"/>
            </w:pPr>
            <w:r>
              <w:t xml:space="preserve">Partnerships with elite business schools (e.g., top-ranked faculty/content)</w:t>
            </w:r>
          </w:p>
        </w:tc>
      </w:tr>
      <w:tr>
        <w:tc>
          <w:tcPr/>
          <w:p>
            <w:pPr>
              <w:pStyle w:val="Compact"/>
            </w:pPr>
            <w:r>
              <w:rPr>
                <w:b/>
                <w:bCs/>
              </w:rPr>
              <w:t xml:space="preserve">Moat</w:t>
            </w:r>
          </w:p>
        </w:tc>
        <w:tc>
          <w:tcPr/>
          <w:p>
            <w:pPr>
              <w:pStyle w:val="Compact"/>
            </w:pPr>
            <w:r>
              <w:t xml:space="preserve">School-brand partnerships; measurable outcomes; embedded enterprise L&amp;D relationships</w:t>
            </w:r>
          </w:p>
        </w:tc>
      </w:tr>
    </w:tbl>
    <w:p>
      <w:pPr>
        <w:pStyle w:val="BodyText"/>
      </w:pPr>
      <w:r>
        <w:rPr>
          <w:b/>
          <w:bCs/>
        </w:rPr>
        <w:t xml:space="preserve">BUSINESS</w:t>
      </w:r>
    </w:p>
    <w:p>
      <w:pPr>
        <w:pStyle w:val="BodyText"/>
      </w:pPr>
      <w:r>
        <w:t xml:space="preserve">ExecOnline delivers enterprise leadership-development programs at scale by pairing top business-school faculty and content with a technology platform that runs cohort-based online learning, coaching, and applied projects for large employers. It sells to corporate HR/L&amp;D functions through multi-year enterprise agreements, positioning measurable leadership-capability outcomes as the value proposition.</w:t>
      </w:r>
    </w:p>
    <w:p>
      <w:pPr>
        <w:pStyle w:val="BodyText"/>
      </w:pPr>
      <w:r>
        <w:rPr>
          <w:b/>
          <w:bCs/>
        </w:rPr>
        <w:t xml:space="preserve">INVESTMENT THESIS</w:t>
      </w:r>
    </w:p>
    <w:p>
      <w:pPr>
        <w:pStyle w:val="BodyText"/>
      </w:pPr>
      <w:r>
        <w:t xml:space="preserve">An enterprise learning platform that packages elite business-school brand and content into scalable, outcome-oriented leadership development — a category with durable corporate demand and a defensible partner moat. The bull case is recurring enterprise contracts, high-brand-credibility content that competitors can’t easily replicate, and expansion across an employer’s leadership population (land-and-expand). The value-creation story is deepening net revenue retention, attaching coaching and measurement products, and using AI to personalize and scale delivery. The core risks are L&amp;D budget cyclicality (training is discretionary in downturns), dependence on school partnerships, and competition from a crowded corporate-learning market.</w:t>
      </w:r>
    </w:p>
    <w:p>
      <w:pPr>
        <w:pStyle w:val="BodyText"/>
      </w:pPr>
      <w:r>
        <w:rPr>
          <w:b/>
          <w:bCs/>
        </w:rPr>
        <w:t xml:space="preserve">VALUE-CREATION LEVERS</w:t>
      </w:r>
    </w:p>
    <w:p>
      <w:pPr>
        <w:numPr>
          <w:ilvl w:val="0"/>
          <w:numId w:val="1001"/>
        </w:numPr>
      </w:pPr>
      <w:r>
        <w:rPr>
          <w:b/>
          <w:bCs/>
        </w:rPr>
        <w:t xml:space="preserve">Net-retention expansion:</w:t>
      </w:r>
      <w:r>
        <w:rPr>
          <w:b/>
          <w:bCs/>
        </w:rPr>
        <w:t xml:space="preserve"> </w:t>
      </w:r>
      <w:r>
        <w:t xml:space="preserve">grow seats and program breadth within existing enterprise accounts to lift net revenue retention.</w:t>
      </w:r>
    </w:p>
    <w:p>
      <w:pPr>
        <w:numPr>
          <w:ilvl w:val="0"/>
          <w:numId w:val="1001"/>
        </w:numPr>
      </w:pPr>
      <w:r>
        <w:rPr>
          <w:b/>
          <w:bCs/>
        </w:rPr>
        <w:t xml:space="preserve">Outcome measurement:</w:t>
      </w:r>
      <w:r>
        <w:rPr>
          <w:b/>
          <w:bCs/>
        </w:rPr>
        <w:t xml:space="preserve"> </w:t>
      </w:r>
      <w:r>
        <w:t xml:space="preserve">strengthen measurable-impact reporting so L&amp;D spend is defensible in budget reviews, protecting renewals.</w:t>
      </w:r>
    </w:p>
    <w:p>
      <w:pPr>
        <w:numPr>
          <w:ilvl w:val="0"/>
          <w:numId w:val="1001"/>
        </w:numPr>
      </w:pPr>
      <w:r>
        <w:rPr>
          <w:b/>
          <w:bCs/>
        </w:rPr>
        <w:t xml:space="preserve">AI-enabled delivery:</w:t>
      </w:r>
      <w:r>
        <w:rPr>
          <w:b/>
          <w:bCs/>
        </w:rPr>
        <w:t xml:space="preserve"> </w:t>
      </w:r>
      <w:r>
        <w:t xml:space="preserve">use AI for personalization, coaching scale, and content leverage to lift margin and differentiate.</w:t>
      </w:r>
    </w:p>
    <w:p>
      <w:pPr>
        <w:numPr>
          <w:ilvl w:val="0"/>
          <w:numId w:val="1001"/>
        </w:numPr>
      </w:pPr>
      <w:r>
        <w:rPr>
          <w:b/>
          <w:bCs/>
        </w:rPr>
        <w:t xml:space="preserve">Partner-moat deepening:</w:t>
      </w:r>
      <w:r>
        <w:rPr>
          <w:b/>
          <w:bCs/>
        </w:rPr>
        <w:t xml:space="preserve"> </w:t>
      </w:r>
      <w:r>
        <w:t xml:space="preserve">extend and protect elite school partnerships as a hard-to-replicate content advantage.</w:t>
      </w:r>
    </w:p>
    <w:p>
      <w:pPr>
        <w:pStyle w:val="FirstParagraph"/>
      </w:pPr>
      <w:r>
        <w:rPr>
          <w:b/>
          <w:bCs/>
        </w:rPr>
        <w:t xml:space="preserve">KEY RISKS</w:t>
      </w:r>
    </w:p>
    <w:p>
      <w:pPr>
        <w:numPr>
          <w:ilvl w:val="0"/>
          <w:numId w:val="1002"/>
        </w:numPr>
      </w:pPr>
      <w:r>
        <w:t xml:space="preserve">L&amp;D budget cyclicality: leadership-development spend is discretionary and cut early in downturns.</w:t>
      </w:r>
    </w:p>
    <w:p>
      <w:pPr>
        <w:numPr>
          <w:ilvl w:val="0"/>
          <w:numId w:val="1002"/>
        </w:numPr>
      </w:pPr>
      <w:r>
        <w:t xml:space="preserve">Partnership dependence: content credibility relies on continued elite school relationships.</w:t>
      </w:r>
    </w:p>
    <w:p>
      <w:pPr>
        <w:numPr>
          <w:ilvl w:val="0"/>
          <w:numId w:val="1002"/>
        </w:numPr>
      </w:pPr>
      <w:r>
        <w:t xml:space="preserve">Crowded market: corporate-learning and executive-education competitors contest the same budgets.</w:t>
      </w:r>
    </w:p>
    <w:p>
      <w:pPr>
        <w:numPr>
          <w:ilvl w:val="0"/>
          <w:numId w:val="1002"/>
        </w:numPr>
      </w:pPr>
      <w:r>
        <w:t xml:space="preserve">Outcome-attribution difficulty can weaken renewal justification if impact isn’t demonstrably measured.</w:t>
      </w:r>
    </w:p>
    <w:p>
      <w:pPr>
        <w:pStyle w:val="FirstParagraph"/>
      </w:pPr>
      <w:r>
        <w:rPr>
          <w:b/>
          <w:bCs/>
        </w:rPr>
        <w:t xml:space="preserve">DILIGENCE PRIORITIES</w:t>
      </w:r>
    </w:p>
    <w:p>
      <w:pPr>
        <w:numPr>
          <w:ilvl w:val="0"/>
          <w:numId w:val="1003"/>
        </w:numPr>
      </w:pPr>
      <w:r>
        <w:t xml:space="preserve">Net and gross revenue retention; share of revenue on multi-year enterprise contracts.</w:t>
      </w:r>
    </w:p>
    <w:p>
      <w:pPr>
        <w:numPr>
          <w:ilvl w:val="0"/>
          <w:numId w:val="1003"/>
        </w:numPr>
      </w:pPr>
      <w:r>
        <w:t xml:space="preserve">Concentration and durability of business-school partnerships (terms, exclusivity, renewal).</w:t>
      </w:r>
    </w:p>
    <w:p>
      <w:pPr>
        <w:numPr>
          <w:ilvl w:val="0"/>
          <w:numId w:val="1003"/>
        </w:numPr>
      </w:pPr>
      <w:r>
        <w:t xml:space="preserve">Evidence of measurable learning/leadership outcomes tied to renewals.</w:t>
      </w:r>
    </w:p>
    <w:p>
      <w:pPr>
        <w:numPr>
          <w:ilvl w:val="0"/>
          <w:numId w:val="1003"/>
        </w:numPr>
      </w:pPr>
      <w:r>
        <w:t xml:space="preserve">Seat-expansion economics and CAC payback within enterprise accounts.</w:t>
      </w:r>
    </w:p>
    <w:p>
      <w:pPr>
        <w:numPr>
          <w:ilvl w:val="0"/>
          <w:numId w:val="1003"/>
        </w:numPr>
      </w:pPr>
      <w:r>
        <w:t xml:space="preserve">Exposure of the customer base to cyclical L&amp;D budget cuts.</w:t>
      </w:r>
    </w:p>
    <w:p>
      <w:pPr>
        <w:pStyle w:val="FirstParagraph"/>
      </w:pPr>
      <w:r>
        <w:rPr>
          <w:b/>
          <w:bCs/>
        </w:rPr>
        <w:t xml:space="preserve">RETURN FRAMING</w:t>
      </w:r>
    </w:p>
    <w:p>
      <w:pPr>
        <w:pStyle w:val="BodyText"/>
      </w:pPr>
      <w:r>
        <w:t xml:space="preserve">A recurring enterprise-learning asset with a genuine brand-partner moat; the underwrite is retention and outcome-defensibility against discretionary-budget beta. Base case underwrites durable enterprise contracts with net-retention expansion; upside from AI-scaled delivery and measurement products that lift margin and ACV; downside is L&amp;D budget cyclicality and partnership dependence.</w:t>
      </w:r>
    </w:p>
    <w:p>
      <w:pPr>
        <w:pStyle w:val="BodyText"/>
      </w:pPr>
      <w:r>
        <w:t xml:space="preserve">** VERDICT **Recurring enterprise learning with a real school-partner moat; retention and demonstrable outcomes are the swing factors against discretionary-budget beta.</w:t>
      </w:r>
    </w:p>
    <w:p>
      <w:pPr>
        <w:pStyle w:val="BodyText"/>
      </w:pPr>
      <w:r>
        <w:rPr>
          <w:i/>
          <w:iCs/>
        </w:rPr>
        <w:t xml:space="preserve">Prepared for demonstration purposes only. This one-pager was generated as an illustrative sample to showcase a standardized investment-thesis format. It is not investment advice, not a recommendation to buy, sell, or hold any security, and not the product of formal due diligence. Company descriptions draw on publicly available sources gathered at the time of creation and may be incomplete, dated, or inaccurate; financial figures are third-party estimates or illustrative placeholders and have not been independently verified. No affiliation with, or endorsement by, any company named herein is implied.</w:t>
      </w:r>
    </w:p>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2026-07-16T22:13:53Z</dcterms:created>
  <dcterms:modified xsi:type="dcterms:W3CDTF">2026-07-16T22:13:53Z</dcterms:modified>
</cp:coreProperties>
</file>

<file path=docProps/custom.xml><?xml version="1.0" encoding="utf-8"?>
<Properties xmlns="http://schemas.openxmlformats.org/officeDocument/2006/custom-properties" xmlns:vt="http://schemas.openxmlformats.org/officeDocument/2006/docPropsVTypes"/>
</file>