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Charter Impact</w:t>
      </w:r>
    </w:p>
    <w:p>
      <w:pPr>
        <w:pStyle w:val="BodyText"/>
      </w:pPr>
      <w:r>
        <w:rPr>
          <w:i/>
          <w:iCs/>
        </w:rPr>
        <w:t xml:space="preserve">Outsourced back-office and financial operations for mission-driven organizations</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Outsourced finance &amp; operations (BPO) / nonprofit &amp; charter-school services</w:t>
            </w:r>
          </w:p>
        </w:tc>
      </w:tr>
      <w:tr>
        <w:tc>
          <w:tcPr/>
          <w:p>
            <w:pPr>
              <w:pStyle w:val="Compact"/>
            </w:pPr>
            <w:r>
              <w:rPr>
                <w:b/>
                <w:bCs/>
              </w:rPr>
              <w:t xml:space="preserve">Customers</w:t>
            </w:r>
          </w:p>
        </w:tc>
        <w:tc>
          <w:tcPr/>
          <w:p>
            <w:pPr>
              <w:pStyle w:val="Compact"/>
            </w:pPr>
            <w:r>
              <w:t xml:space="preserve">Charter schools, nonprofits, and mission-driven organizations</w:t>
            </w:r>
          </w:p>
        </w:tc>
      </w:tr>
      <w:tr>
        <w:tc>
          <w:tcPr/>
          <w:p>
            <w:pPr>
              <w:pStyle w:val="Compact"/>
            </w:pPr>
            <w:r>
              <w:rPr>
                <w:b/>
                <w:bCs/>
              </w:rPr>
              <w:t xml:space="preserve">Model</w:t>
            </w:r>
          </w:p>
        </w:tc>
        <w:tc>
          <w:tcPr/>
          <w:p>
            <w:pPr>
              <w:pStyle w:val="Compact"/>
            </w:pPr>
            <w:r>
              <w:t xml:space="preserve">Recurring outsourced back-office: accounting, finance, compliance, HR/payroll support</w:t>
            </w:r>
          </w:p>
        </w:tc>
      </w:tr>
      <w:tr>
        <w:tc>
          <w:tcPr/>
          <w:p>
            <w:pPr>
              <w:pStyle w:val="Compact"/>
            </w:pPr>
            <w:r>
              <w:rPr>
                <w:b/>
                <w:bCs/>
              </w:rPr>
              <w:t xml:space="preserve">Positioning</w:t>
            </w:r>
          </w:p>
        </w:tc>
        <w:tc>
          <w:tcPr/>
          <w:p>
            <w:pPr>
              <w:pStyle w:val="Compact"/>
            </w:pPr>
            <w:r>
              <w:t xml:space="preserve">Specialized operational partner for the charter and nonprofit sector</w:t>
            </w:r>
          </w:p>
        </w:tc>
      </w:tr>
      <w:tr>
        <w:tc>
          <w:tcPr/>
          <w:p>
            <w:pPr>
              <w:pStyle w:val="Compact"/>
            </w:pPr>
            <w:r>
              <w:rPr>
                <w:b/>
                <w:bCs/>
              </w:rPr>
              <w:t xml:space="preserve">Moat</w:t>
            </w:r>
          </w:p>
        </w:tc>
        <w:tc>
          <w:tcPr/>
          <w:p>
            <w:pPr>
              <w:pStyle w:val="Compact"/>
            </w:pPr>
            <w:r>
              <w:t xml:space="preserve">Domain-specific compliance expertise; deep, sticky client relationships</w:t>
            </w:r>
          </w:p>
        </w:tc>
      </w:tr>
    </w:tbl>
    <w:p>
      <w:pPr>
        <w:pStyle w:val="BodyText"/>
      </w:pPr>
      <w:r>
        <w:rPr>
          <w:b/>
          <w:bCs/>
        </w:rPr>
        <w:t xml:space="preserve">BUSINESS</w:t>
      </w:r>
    </w:p>
    <w:p>
      <w:pPr>
        <w:pStyle w:val="BodyText"/>
      </w:pPr>
      <w:r>
        <w:t xml:space="preserve">Charter Impact provides outsourced back-office and financial-operations services — accounting, financial management, compliance reporting, and related administrative support — to charter schools, nonprofits, and other mission-driven organizations that lack in-house finance capacity and must meet specialized regulatory and funder requirements. Revenue is largely recurring, tied to ongoing operational engagements rather than one-off projects.</w:t>
      </w:r>
    </w:p>
    <w:p>
      <w:pPr>
        <w:pStyle w:val="BodyText"/>
      </w:pPr>
      <w:r>
        <w:rPr>
          <w:b/>
          <w:bCs/>
        </w:rPr>
        <w:t xml:space="preserve">INVESTMENT THESIS</w:t>
      </w:r>
    </w:p>
    <w:p>
      <w:pPr>
        <w:pStyle w:val="BodyText"/>
      </w:pPr>
      <w:r>
        <w:t xml:space="preserve">A recurring-revenue outsourced-operations business in a niche defined by compliance complexity and chronic under-resourcing. The moat is domain specialization: charter-school and nonprofit finance carries specific regulatory, funder, and audit requirements that generalist BPO providers don’t serve well, and switching an embedded back-office partner is disruptive — producing high retention and long tenure. The value-creation story is consolidation of a fragmented services market plus margin lift from standardization and technology enablement. The core risks are exposure to public-education funding and charter-authorization policy, labor intensity, and the ceiling on operating leverage typical of people-based services.</w:t>
      </w:r>
    </w:p>
    <w:p>
      <w:pPr>
        <w:pStyle w:val="BodyText"/>
      </w:pPr>
      <w:r>
        <w:rPr>
          <w:b/>
          <w:bCs/>
        </w:rPr>
        <w:t xml:space="preserve">VALUE-CREATION LEVERS</w:t>
      </w:r>
    </w:p>
    <w:p>
      <w:pPr>
        <w:numPr>
          <w:ilvl w:val="0"/>
          <w:numId w:val="1001"/>
        </w:numPr>
      </w:pPr>
      <w:r>
        <w:rPr>
          <w:b/>
          <w:bCs/>
        </w:rPr>
        <w:t xml:space="preserve">Roll-up / consolidation:</w:t>
      </w:r>
      <w:r>
        <w:rPr>
          <w:b/>
          <w:bCs/>
        </w:rPr>
        <w:t xml:space="preserve"> </w:t>
      </w:r>
      <w:r>
        <w:t xml:space="preserve">acquire fragmented regional providers of nonprofit/charter back-office services to expand the recurring base and density.</w:t>
      </w:r>
    </w:p>
    <w:p>
      <w:pPr>
        <w:numPr>
          <w:ilvl w:val="0"/>
          <w:numId w:val="1001"/>
        </w:numPr>
      </w:pPr>
      <w:r>
        <w:rPr>
          <w:b/>
          <w:bCs/>
        </w:rPr>
        <w:t xml:space="preserve">Technology enablement:</w:t>
      </w:r>
      <w:r>
        <w:rPr>
          <w:b/>
          <w:bCs/>
        </w:rPr>
        <w:t xml:space="preserve"> </w:t>
      </w:r>
      <w:r>
        <w:t xml:space="preserve">standardize and automate delivery to lift gross margin and reduce per-client labor intensity.</w:t>
      </w:r>
    </w:p>
    <w:p>
      <w:pPr>
        <w:numPr>
          <w:ilvl w:val="0"/>
          <w:numId w:val="1001"/>
        </w:numPr>
      </w:pPr>
      <w:r>
        <w:rPr>
          <w:b/>
          <w:bCs/>
        </w:rPr>
        <w:t xml:space="preserve">Cross-sell / land-and-expand:</w:t>
      </w:r>
      <w:r>
        <w:rPr>
          <w:b/>
          <w:bCs/>
        </w:rPr>
        <w:t xml:space="preserve"> </w:t>
      </w:r>
      <w:r>
        <w:t xml:space="preserve">broaden the services footprint (compliance, HR/payroll, advisory) within existing accounts to grow revenue per client.</w:t>
      </w:r>
    </w:p>
    <w:p>
      <w:pPr>
        <w:numPr>
          <w:ilvl w:val="0"/>
          <w:numId w:val="1001"/>
        </w:numPr>
      </w:pPr>
      <w:r>
        <w:rPr>
          <w:b/>
          <w:bCs/>
        </w:rPr>
        <w:t xml:space="preserve">Segment adjacency:</w:t>
      </w:r>
      <w:r>
        <w:rPr>
          <w:b/>
          <w:bCs/>
        </w:rPr>
        <w:t xml:space="preserve"> </w:t>
      </w:r>
      <w:r>
        <w:t xml:space="preserve">extend from charter schools into adjacent nonprofit verticals with similar compliance needs.</w:t>
      </w:r>
    </w:p>
    <w:p>
      <w:pPr>
        <w:pStyle w:val="FirstParagraph"/>
      </w:pPr>
      <w:r>
        <w:rPr>
          <w:b/>
          <w:bCs/>
        </w:rPr>
        <w:t xml:space="preserve">KEY RISKS</w:t>
      </w:r>
    </w:p>
    <w:p>
      <w:pPr>
        <w:numPr>
          <w:ilvl w:val="0"/>
          <w:numId w:val="1002"/>
        </w:numPr>
      </w:pPr>
      <w:r>
        <w:t xml:space="preserve">Policy exposure: charter-school authorization and public-education funding shifts can affect the client base.</w:t>
      </w:r>
    </w:p>
    <w:p>
      <w:pPr>
        <w:numPr>
          <w:ilvl w:val="0"/>
          <w:numId w:val="1002"/>
        </w:numPr>
      </w:pPr>
      <w:r>
        <w:t xml:space="preserve">Labor intensity and utilization-driven margins cap operating leverage without automation.</w:t>
      </w:r>
    </w:p>
    <w:p>
      <w:pPr>
        <w:numPr>
          <w:ilvl w:val="0"/>
          <w:numId w:val="1002"/>
        </w:numPr>
      </w:pPr>
      <w:r>
        <w:t xml:space="preserve">Client concentration in a mission-driven segment with constrained budgets.</w:t>
      </w:r>
    </w:p>
    <w:p>
      <w:pPr>
        <w:numPr>
          <w:ilvl w:val="0"/>
          <w:numId w:val="1002"/>
        </w:numPr>
      </w:pPr>
      <w:r>
        <w:t xml:space="preserve">Key-person and delivery-transferability risk in a services model.</w:t>
      </w:r>
    </w:p>
    <w:p>
      <w:pPr>
        <w:pStyle w:val="FirstParagraph"/>
      </w:pPr>
      <w:r>
        <w:rPr>
          <w:b/>
          <w:bCs/>
        </w:rPr>
        <w:t xml:space="preserve">DILIGENCE PRIORITIES</w:t>
      </w:r>
    </w:p>
    <w:p>
      <w:pPr>
        <w:numPr>
          <w:ilvl w:val="0"/>
          <w:numId w:val="1003"/>
        </w:numPr>
      </w:pPr>
      <w:r>
        <w:t xml:space="preserve">Revenue recurrence, client tenure, retention, and logo churn.</w:t>
      </w:r>
    </w:p>
    <w:p>
      <w:pPr>
        <w:numPr>
          <w:ilvl w:val="0"/>
          <w:numId w:val="1003"/>
        </w:numPr>
      </w:pPr>
      <w:r>
        <w:t xml:space="preserve">Exposure to charter-authorization and education-funding policy cycles.</w:t>
      </w:r>
    </w:p>
    <w:p>
      <w:pPr>
        <w:numPr>
          <w:ilvl w:val="0"/>
          <w:numId w:val="1003"/>
        </w:numPr>
      </w:pPr>
      <w:r>
        <w:t xml:space="preserve">Delivery margin, utilization, and the degree of process standardization/automation.</w:t>
      </w:r>
    </w:p>
    <w:p>
      <w:pPr>
        <w:numPr>
          <w:ilvl w:val="0"/>
          <w:numId w:val="1003"/>
        </w:numPr>
      </w:pPr>
      <w:r>
        <w:t xml:space="preserve">Roll-up pipeline and integration playbook for acquired providers.</w:t>
      </w:r>
    </w:p>
    <w:p>
      <w:pPr>
        <w:numPr>
          <w:ilvl w:val="0"/>
          <w:numId w:val="1003"/>
        </w:numPr>
      </w:pPr>
      <w:r>
        <w:t xml:space="preserve">Client concentration and contract terms.</w:t>
      </w:r>
    </w:p>
    <w:p>
      <w:pPr>
        <w:pStyle w:val="FirstParagraph"/>
      </w:pPr>
      <w:r>
        <w:rPr>
          <w:b/>
          <w:bCs/>
        </w:rPr>
        <w:t xml:space="preserve">RETURN FRAMING</w:t>
      </w:r>
    </w:p>
    <w:p>
      <w:pPr>
        <w:pStyle w:val="BodyText"/>
      </w:pPr>
      <w:r>
        <w:t xml:space="preserve">A sticky, recurring outsourced-operations asset in a compliance-defined niche; the underwrite is roll-up execution and margin lift from standardization against policy-funding beta. Base case underwrites durable recurring engagements with consolidation-driven growth; upside from technology-enabled margin expansion and cross-sell; downside is education-funding/policy pressure and the operating-leverage ceiling of a labor-based model.</w:t>
      </w:r>
    </w:p>
    <w:p>
      <w:pPr>
        <w:pStyle w:val="BodyText"/>
      </w:pPr>
      <w:r>
        <w:t xml:space="preserve">** VERDICT **Sticky recurring niche services; value hinges on roll-up execution and automation-driven margin, with education-policy beta the key watch item.</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