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
          <w:bCs/>
        </w:rPr>
        <w:t xml:space="preserve">INVESTMENT THESIS • ONE-PAGER</w:t>
      </w:r>
    </w:p>
    <w:p>
      <w:pPr>
        <w:pStyle w:val="BodyText"/>
      </w:pPr>
      <w:r>
        <w:rPr>
          <w:b/>
          <w:bCs/>
        </w:rPr>
        <w:t xml:space="preserve">Brightfield</w:t>
      </w:r>
    </w:p>
    <w:p>
      <w:pPr>
        <w:pStyle w:val="BodyText"/>
      </w:pPr>
      <w:r>
        <w:rPr>
          <w:i/>
          <w:iCs/>
        </w:rPr>
        <w:t xml:space="preserve">AI-driven consumer and market intelligence for wellness and emerging categories</w:t>
      </w:r>
    </w:p>
    <w:p>
      <w:pPr>
        <w:pStyle w:val="BodyText"/>
      </w:pPr>
      <w:r>
        <w:rPr>
          <w:b/>
          <w:bCs/>
        </w:rPr>
        <w:t xml:space="preserve">COMPANY SNAPSHOT</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b/>
                <w:bCs/>
              </w:rPr>
              <w:t xml:space="preserve">Sector</w:t>
            </w:r>
          </w:p>
        </w:tc>
        <w:tc>
          <w:tcPr/>
          <w:p>
            <w:pPr>
              <w:pStyle w:val="Compact"/>
            </w:pPr>
            <w:r>
              <w:t xml:space="preserve">Market intelligence / data &amp; analytics / consumer insights</w:t>
            </w:r>
          </w:p>
        </w:tc>
      </w:tr>
      <w:tr>
        <w:tc>
          <w:tcPr/>
          <w:p>
            <w:pPr>
              <w:pStyle w:val="Compact"/>
            </w:pPr>
            <w:r>
              <w:rPr>
                <w:b/>
                <w:bCs/>
              </w:rPr>
              <w:t xml:space="preserve">Focus</w:t>
            </w:r>
          </w:p>
        </w:tc>
        <w:tc>
          <w:tcPr/>
          <w:p>
            <w:pPr>
              <w:pStyle w:val="Compact"/>
            </w:pPr>
            <w:r>
              <w:t xml:space="preserve">Wellness, CPG, and emerging consumer categories (e.g., cannabis/CBD, supplements)</w:t>
            </w:r>
          </w:p>
        </w:tc>
      </w:tr>
      <w:tr>
        <w:tc>
          <w:tcPr/>
          <w:p>
            <w:pPr>
              <w:pStyle w:val="Compact"/>
            </w:pPr>
            <w:r>
              <w:rPr>
                <w:b/>
                <w:bCs/>
              </w:rPr>
              <w:t xml:space="preserve">Customers</w:t>
            </w:r>
          </w:p>
        </w:tc>
        <w:tc>
          <w:tcPr/>
          <w:p>
            <w:pPr>
              <w:pStyle w:val="Compact"/>
            </w:pPr>
            <w:r>
              <w:t xml:space="preserve">Brands, retailers, investors, and strategy teams</w:t>
            </w:r>
          </w:p>
        </w:tc>
      </w:tr>
      <w:tr>
        <w:tc>
          <w:tcPr/>
          <w:p>
            <w:pPr>
              <w:pStyle w:val="Compact"/>
            </w:pPr>
            <w:r>
              <w:rPr>
                <w:b/>
                <w:bCs/>
              </w:rPr>
              <w:t xml:space="preserve">Model</w:t>
            </w:r>
          </w:p>
        </w:tc>
        <w:tc>
          <w:tcPr/>
          <w:p>
            <w:pPr>
              <w:pStyle w:val="Compact"/>
            </w:pPr>
            <w:r>
              <w:t xml:space="preserve">Subscription data &amp; insights platform; syndicated and custom research</w:t>
            </w:r>
          </w:p>
        </w:tc>
      </w:tr>
      <w:tr>
        <w:tc>
          <w:tcPr/>
          <w:p>
            <w:pPr>
              <w:pStyle w:val="Compact"/>
            </w:pPr>
            <w:r>
              <w:rPr>
                <w:b/>
                <w:bCs/>
              </w:rPr>
              <w:t xml:space="preserve">Signature asset</w:t>
            </w:r>
          </w:p>
        </w:tc>
        <w:tc>
          <w:tcPr/>
          <w:p>
            <w:pPr>
              <w:pStyle w:val="Compact"/>
            </w:pPr>
            <w:r>
              <w:t xml:space="preserve">Proprietary consumer panels + AI-driven trend and demand forecasting</w:t>
            </w:r>
          </w:p>
        </w:tc>
      </w:tr>
      <w:tr>
        <w:tc>
          <w:tcPr/>
          <w:p>
            <w:pPr>
              <w:pStyle w:val="Compact"/>
            </w:pPr>
            <w:r>
              <w:rPr>
                <w:b/>
                <w:bCs/>
              </w:rPr>
              <w:t xml:space="preserve">Moat</w:t>
            </w:r>
          </w:p>
        </w:tc>
        <w:tc>
          <w:tcPr/>
          <w:p>
            <w:pPr>
              <w:pStyle w:val="Compact"/>
            </w:pPr>
            <w:r>
              <w:t xml:space="preserve">Proprietary longitudinal data; category depth in under-covered markets</w:t>
            </w:r>
          </w:p>
        </w:tc>
      </w:tr>
    </w:tbl>
    <w:p>
      <w:pPr>
        <w:pStyle w:val="BodyText"/>
      </w:pPr>
      <w:r>
        <w:rPr>
          <w:b/>
          <w:bCs/>
        </w:rPr>
        <w:t xml:space="preserve">BUSINESS</w:t>
      </w:r>
    </w:p>
    <w:p>
      <w:pPr>
        <w:pStyle w:val="BodyText"/>
      </w:pPr>
      <w:r>
        <w:t xml:space="preserve">Brightfield is a data-and-intelligence platform that combines proprietary consumer panels, transaction and social signals, and AI-driven analytics to forecast demand and trends in wellness and emerging consumer categories that legacy syndicated-data incumbents cover thinly. It monetizes through subscription access to its platform and datasets, plus syndicated reports and custom research for brands, retailers, and investors.</w:t>
      </w:r>
    </w:p>
    <w:p>
      <w:pPr>
        <w:pStyle w:val="BodyText"/>
      </w:pPr>
      <w:r>
        <w:rPr>
          <w:b/>
          <w:bCs/>
        </w:rPr>
        <w:t xml:space="preserve">INVESTMENT THESIS</w:t>
      </w:r>
    </w:p>
    <w:p>
      <w:pPr>
        <w:pStyle w:val="BodyText"/>
      </w:pPr>
      <w:r>
        <w:t xml:space="preserve">A proprietary-data business in the white space the incumbents ignore: emerging and fast-moving consumer categories where the traditional syndicated-data players have sparse coverage. The moat is the data itself — longitudinal panels and signal feeds that compound over time and are expensive to replicate — wrapped in an AI analytics layer that turns raw signal into forecasts. If the platform mix is genuinely subscription rather than one-off reports, this carries software-like retention economics on a data asset. The core risk is category beta: several of Brightfield’s signature categories (notably cannabis/CBD) are volatile, regulation-sensitive, and can compress the customer base in a downturn.</w:t>
      </w:r>
    </w:p>
    <w:p>
      <w:pPr>
        <w:pStyle w:val="BodyText"/>
      </w:pPr>
      <w:r>
        <w:rPr>
          <w:b/>
          <w:bCs/>
        </w:rPr>
        <w:t xml:space="preserve">VALUE-CREATION LEVERS</w:t>
      </w:r>
    </w:p>
    <w:p>
      <w:pPr>
        <w:numPr>
          <w:ilvl w:val="0"/>
          <w:numId w:val="1001"/>
        </w:numPr>
      </w:pPr>
      <w:r>
        <w:rPr>
          <w:b/>
          <w:bCs/>
        </w:rPr>
        <w:t xml:space="preserve">Platform subscription mix:</w:t>
      </w:r>
      <w:r>
        <w:rPr>
          <w:b/>
          <w:bCs/>
        </w:rPr>
        <w:t xml:space="preserve"> </w:t>
      </w:r>
      <w:r>
        <w:t xml:space="preserve">shift revenue from one-off syndicated reports toward always-on platform/data subscriptions with strong gross retention.</w:t>
      </w:r>
    </w:p>
    <w:p>
      <w:pPr>
        <w:numPr>
          <w:ilvl w:val="0"/>
          <w:numId w:val="1001"/>
        </w:numPr>
      </w:pPr>
      <w:r>
        <w:rPr>
          <w:b/>
          <w:bCs/>
        </w:rPr>
        <w:t xml:space="preserve">Category diversification:</w:t>
      </w:r>
      <w:r>
        <w:rPr>
          <w:b/>
          <w:bCs/>
        </w:rPr>
        <w:t xml:space="preserve"> </w:t>
      </w:r>
      <w:r>
        <w:t xml:space="preserve">extend proprietary coverage beyond volatile origin categories into broader wellness and CPG to reduce single-category beta.</w:t>
      </w:r>
    </w:p>
    <w:p>
      <w:pPr>
        <w:numPr>
          <w:ilvl w:val="0"/>
          <w:numId w:val="1001"/>
        </w:numPr>
      </w:pPr>
      <w:r>
        <w:rPr>
          <w:b/>
          <w:bCs/>
        </w:rPr>
        <w:t xml:space="preserve">AI productization:</w:t>
      </w:r>
      <w:r>
        <w:rPr>
          <w:b/>
          <w:bCs/>
        </w:rPr>
        <w:t xml:space="preserve"> </w:t>
      </w:r>
      <w:r>
        <w:t xml:space="preserve">convert the analytics layer into higher-value predictive/forecasting products that raise switching costs and ACV.</w:t>
      </w:r>
    </w:p>
    <w:p>
      <w:pPr>
        <w:numPr>
          <w:ilvl w:val="0"/>
          <w:numId w:val="1001"/>
        </w:numPr>
      </w:pPr>
      <w:r>
        <w:rPr>
          <w:b/>
          <w:bCs/>
        </w:rPr>
        <w:t xml:space="preserve">Data-asset compounding:</w:t>
      </w:r>
      <w:r>
        <w:rPr>
          <w:b/>
          <w:bCs/>
        </w:rPr>
        <w:t xml:space="preserve"> </w:t>
      </w:r>
      <w:r>
        <w:t xml:space="preserve">deepen panel and signal coverage so the longitudinal dataset becomes progressively harder to replicate.</w:t>
      </w:r>
    </w:p>
    <w:p>
      <w:pPr>
        <w:pStyle w:val="FirstParagraph"/>
      </w:pPr>
      <w:r>
        <w:rPr>
          <w:b/>
          <w:bCs/>
        </w:rPr>
        <w:t xml:space="preserve">KEY RISKS</w:t>
      </w:r>
    </w:p>
    <w:p>
      <w:pPr>
        <w:numPr>
          <w:ilvl w:val="0"/>
          <w:numId w:val="1002"/>
        </w:numPr>
      </w:pPr>
      <w:r>
        <w:t xml:space="preserve">Category beta: origin categories (cannabis/CBD, some wellness) are volatile and regulation-sensitive.</w:t>
      </w:r>
    </w:p>
    <w:p>
      <w:pPr>
        <w:numPr>
          <w:ilvl w:val="0"/>
          <w:numId w:val="1002"/>
        </w:numPr>
      </w:pPr>
      <w:r>
        <w:t xml:space="preserve">Report-led revenue is lower quality than platform subscription; mix must prove genuinely recurring.</w:t>
      </w:r>
    </w:p>
    <w:p>
      <w:pPr>
        <w:numPr>
          <w:ilvl w:val="0"/>
          <w:numId w:val="1002"/>
        </w:numPr>
      </w:pPr>
      <w:r>
        <w:t xml:space="preserve">Data-provenance and panel-quality risk if coverage is thin or non-representative in newer categories.</w:t>
      </w:r>
    </w:p>
    <w:p>
      <w:pPr>
        <w:numPr>
          <w:ilvl w:val="0"/>
          <w:numId w:val="1002"/>
        </w:numPr>
      </w:pPr>
      <w:r>
        <w:t xml:space="preserve">Larger syndicated-data incumbents could enter emerging categories once they scale.</w:t>
      </w:r>
    </w:p>
    <w:p>
      <w:pPr>
        <w:pStyle w:val="FirstParagraph"/>
      </w:pPr>
      <w:r>
        <w:rPr>
          <w:b/>
          <w:bCs/>
        </w:rPr>
        <w:t xml:space="preserve">DILIGENCE PRIORITIES</w:t>
      </w:r>
    </w:p>
    <w:p>
      <w:pPr>
        <w:numPr>
          <w:ilvl w:val="0"/>
          <w:numId w:val="1003"/>
        </w:numPr>
      </w:pPr>
      <w:r>
        <w:t xml:space="preserve">Platform subscription vs. one-off report revenue mix; gross and net retention by cohort.</w:t>
      </w:r>
    </w:p>
    <w:p>
      <w:pPr>
        <w:numPr>
          <w:ilvl w:val="0"/>
          <w:numId w:val="1003"/>
        </w:numPr>
      </w:pPr>
      <w:r>
        <w:t xml:space="preserve">Category concentration and exposure to regulation-sensitive verticals.</w:t>
      </w:r>
    </w:p>
    <w:p>
      <w:pPr>
        <w:numPr>
          <w:ilvl w:val="0"/>
          <w:numId w:val="1003"/>
        </w:numPr>
      </w:pPr>
      <w:r>
        <w:t xml:space="preserve">Data-asset defensibility: panel size, refresh, provenance, and lineage.</w:t>
      </w:r>
    </w:p>
    <w:p>
      <w:pPr>
        <w:numPr>
          <w:ilvl w:val="0"/>
          <w:numId w:val="1003"/>
        </w:numPr>
      </w:pPr>
      <w:r>
        <w:t xml:space="preserve">Forecast accuracy of the AI models against realized outcomes (is the analytics layer real or theatrical?).</w:t>
      </w:r>
    </w:p>
    <w:p>
      <w:pPr>
        <w:numPr>
          <w:ilvl w:val="0"/>
          <w:numId w:val="1003"/>
        </w:numPr>
      </w:pPr>
      <w:r>
        <w:t xml:space="preserve">Customer concentration across brands vs. retailers vs. investors.</w:t>
      </w:r>
    </w:p>
    <w:p>
      <w:pPr>
        <w:pStyle w:val="FirstParagraph"/>
      </w:pPr>
      <w:r>
        <w:rPr>
          <w:b/>
          <w:bCs/>
        </w:rPr>
        <w:t xml:space="preserve">RETURN FRAMING</w:t>
      </w:r>
    </w:p>
    <w:p>
      <w:pPr>
        <w:pStyle w:val="BodyText"/>
      </w:pPr>
      <w:r>
        <w:t xml:space="preserve">A proprietary-data platform whose quality hinges on subscription mix and category breadth. Base case underwrites recurring platform revenue with net-retention expansion as coverage broadens; upside from AI forecasting products that re-rate the multiple toward software; downside is a concentrated, regulation-exposed category set that compresses the base in a downturn.</w:t>
      </w:r>
    </w:p>
    <w:p>
      <w:pPr>
        <w:pStyle w:val="BodyText"/>
      </w:pPr>
      <w:r>
        <w:t xml:space="preserve">** VERDICT **Attractive proprietary-data platform IF subscription mix and category breadth are real; watch single-category regulatory beta.</w:t>
      </w:r>
    </w:p>
    <w:p>
      <w:pPr>
        <w:pStyle w:val="BodyText"/>
      </w:pPr>
      <w:r>
        <w:rPr>
          <w:i/>
          <w:iCs/>
        </w:rPr>
        <w:t xml:space="preserve">Prepared for demonstration purposes only. This one-pager was generated as an illustrative sample to showcase a standardized investment-thesis format. It is not investment advice, not a recommendation to buy, sell, or hold any security, and not the product of formal due diligence. Company descriptions draw on publicly available sources gathered at the time of creation and may be incomplete, dated, or inaccurate; financial figures are third-party estimates or illustrative placeholders and have not been independently verified. No affiliation with, or endorsement by, any company named herein is implied.</w:t>
      </w:r>
    </w:p>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2026-07-16T22:13:53Z</dcterms:created>
  <dcterms:modified xsi:type="dcterms:W3CDTF">2026-07-16T22:13:53Z</dcterms:modified>
</cp:coreProperties>
</file>

<file path=docProps/custom.xml><?xml version="1.0" encoding="utf-8"?>
<Properties xmlns="http://schemas.openxmlformats.org/officeDocument/2006/custom-properties" xmlns:vt="http://schemas.openxmlformats.org/officeDocument/2006/docPropsVTypes"/>
</file>