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National Journal</w:t>
      </w:r>
    </w:p>
    <w:p>
      <w:pPr>
        <w:pStyle w:val="BodyText"/>
      </w:pPr>
      <w:r>
        <w:rPr>
          <w:i/>
          <w:iCs/>
        </w:rPr>
        <w:t xml:space="preserve">Objectives &amp; Key Results — FY2026 · set at different functions and altitudes</w:t>
      </w:r>
    </w:p>
    <w:p>
      <w:pPr>
        <w:pStyle w:val="BodyText"/>
      </w:pPr>
      <w:r>
        <w:rPr>
          <w:b/>
          <w:bCs/>
        </w:rPr>
        <w:t xml:space="preserve">OBJECTIVE 1 — Product / Engineering (Build)</w:t>
      </w:r>
    </w:p>
    <w:p>
      <w:pPr>
        <w:pStyle w:val="BodyText"/>
      </w:pPr>
      <w:r>
        <w:rPr>
          <w:i/>
          <w:iCs/>
        </w:rPr>
        <w:t xml:space="preserve">Migrate legacy research toward an AI-assisted policy-monitoring platform</w:t>
      </w:r>
    </w:p>
    <w:p>
      <w:pPr>
        <w:pStyle w:val="BodyText"/>
      </w:pPr>
      <w:r>
        <w:rPr>
          <w:b/>
          <w:bCs/>
        </w:rPr>
        <w:t xml:space="preserve">Key Results</w:t>
      </w:r>
    </w:p>
    <w:p>
      <w:pPr>
        <w:numPr>
          <w:ilvl w:val="0"/>
          <w:numId w:val="1001"/>
        </w:numPr>
      </w:pPr>
      <w:r>
        <w:t xml:space="preserve">Ship AI policy-monitoring to 50% of enterprise accounts</w:t>
      </w:r>
    </w:p>
    <w:p>
      <w:pPr>
        <w:numPr>
          <w:ilvl w:val="0"/>
          <w:numId w:val="1001"/>
        </w:numPr>
      </w:pPr>
      <w:r>
        <w:t xml:space="preserve">Lift recurring-revenue mix from 68% to 78%</w:t>
      </w:r>
    </w:p>
    <w:p>
      <w:pPr>
        <w:pStyle w:val="FirstParagraph"/>
      </w:pPr>
      <w:r>
        <w:rPr>
          <w:b/>
          <w:bCs/>
        </w:rPr>
        <w:t xml:space="preserve">OBJECTIVE 2 — Customer Success (GTM)</w:t>
      </w:r>
    </w:p>
    <w:p>
      <w:pPr>
        <w:pStyle w:val="BodyText"/>
      </w:pPr>
      <w:r>
        <w:rPr>
          <w:i/>
          <w:iCs/>
        </w:rPr>
        <w:t xml:space="preserve">Protect the defensive subscription base and expand coverage</w:t>
      </w:r>
    </w:p>
    <w:p>
      <w:pPr>
        <w:pStyle w:val="BodyText"/>
      </w:pPr>
      <w:r>
        <w:rPr>
          <w:b/>
          <w:bCs/>
        </w:rPr>
        <w:t xml:space="preserve">Key Results</w:t>
      </w:r>
    </w:p>
    <w:p>
      <w:pPr>
        <w:numPr>
          <w:ilvl w:val="0"/>
          <w:numId w:val="1002"/>
        </w:numPr>
      </w:pPr>
      <w:r>
        <w:t xml:space="preserve">Hold GRR at or above 92% through the budget cycle</w:t>
      </w:r>
    </w:p>
    <w:p>
      <w:pPr>
        <w:numPr>
          <w:ilvl w:val="0"/>
          <w:numId w:val="1002"/>
        </w:numPr>
      </w:pPr>
      <w:r>
        <w:t xml:space="preserve">Expand seats into state-level/adjacent regulatory coverage in 30% of accounts</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