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Keystone</w:t>
      </w:r>
    </w:p>
    <w:p>
      <w:pPr>
        <w:pStyle w:val="BodyText"/>
      </w:pPr>
      <w:r>
        <w:rPr>
          <w:i/>
          <w:iCs/>
        </w:rPr>
        <w:t xml:space="preserve">Objectives &amp; Key Results — FY2026 · set at different functions and altitudes</w:t>
      </w:r>
    </w:p>
    <w:p>
      <w:pPr>
        <w:pStyle w:val="BodyText"/>
      </w:pPr>
      <w:r>
        <w:rPr>
          <w:b/>
          <w:bCs/>
        </w:rPr>
        <w:t xml:space="preserve">OBJECTIVE 1 — Delivery / Operations (Build)</w:t>
      </w:r>
    </w:p>
    <w:p>
      <w:pPr>
        <w:pStyle w:val="BodyText"/>
      </w:pPr>
      <w:r>
        <w:rPr>
          <w:i/>
          <w:iCs/>
        </w:rPr>
        <w:t xml:space="preserve">Lift leverage beyond hourly billing through productized method</w:t>
      </w:r>
    </w:p>
    <w:p>
      <w:pPr>
        <w:pStyle w:val="BodyText"/>
      </w:pPr>
      <w:r>
        <w:rPr>
          <w:b/>
          <w:bCs/>
        </w:rPr>
        <w:t xml:space="preserve">Key Results</w:t>
      </w:r>
    </w:p>
    <w:p>
      <w:pPr>
        <w:numPr>
          <w:ilvl w:val="0"/>
          <w:numId w:val="1001"/>
        </w:numPr>
      </w:pPr>
      <w:r>
        <w:t xml:space="preserve">Ship 3 reusable analytical accelerators used across engagements</w:t>
      </w:r>
    </w:p>
    <w:p>
      <w:pPr>
        <w:numPr>
          <w:ilvl w:val="0"/>
          <w:numId w:val="1001"/>
        </w:numPr>
      </w:pPr>
      <w:r>
        <w:t xml:space="preserve">Raise realization rate from 88% to 92%</w:t>
      </w:r>
    </w:p>
    <w:p>
      <w:pPr>
        <w:pStyle w:val="FirstParagraph"/>
      </w:pPr>
      <w:r>
        <w:rPr>
          <w:b/>
          <w:bCs/>
        </w:rPr>
        <w:t xml:space="preserve">OBJECTIVE 2 — People / Talent (Org)</w:t>
      </w:r>
    </w:p>
    <w:p>
      <w:pPr>
        <w:pStyle w:val="BodyText"/>
      </w:pPr>
      <w:r>
        <w:rPr>
          <w:i/>
          <w:iCs/>
        </w:rPr>
        <w:t xml:space="preserve">Reduce transferability risk concentrated in senior experts</w:t>
      </w:r>
    </w:p>
    <w:p>
      <w:pPr>
        <w:pStyle w:val="BodyText"/>
      </w:pPr>
      <w:r>
        <w:rPr>
          <w:b/>
          <w:bCs/>
        </w:rPr>
        <w:t xml:space="preserve">Key Results</w:t>
      </w:r>
    </w:p>
    <w:p>
      <w:pPr>
        <w:numPr>
          <w:ilvl w:val="0"/>
          <w:numId w:val="1002"/>
        </w:numPr>
      </w:pPr>
      <w:r>
        <w:t xml:space="preserve">Name and ready a successor for every key-person client relationship</w:t>
      </w:r>
    </w:p>
    <w:p>
      <w:pPr>
        <w:numPr>
          <w:ilvl w:val="0"/>
          <w:numId w:val="1002"/>
        </w:numPr>
      </w:pPr>
      <w:r>
        <w:t xml:space="preserve">Grow retainer/recurring engagements to 30% of revenue</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