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FirstParagraph"/>
      </w:pPr>
      <w:r>
        <w:rPr>
          <w:b/>
          <w:bCs/>
        </w:rPr>
        <w:t xml:space="preserve">OKRs • ONE-PAGER</w:t>
      </w:r>
    </w:p>
    <w:p>
      <w:pPr>
        <w:pStyle w:val="BodyText"/>
      </w:pPr>
      <w:r>
        <w:rPr>
          <w:b/>
          <w:bCs/>
        </w:rPr>
        <w:t xml:space="preserve">IANS Research</w:t>
      </w:r>
    </w:p>
    <w:p>
      <w:pPr>
        <w:pStyle w:val="BodyText"/>
      </w:pPr>
      <w:r>
        <w:rPr>
          <w:i/>
          <w:iCs/>
        </w:rPr>
        <w:t xml:space="preserve">Objectives &amp; Key Results — FY2026 · set at different functions and altitudes</w:t>
      </w:r>
    </w:p>
    <w:p>
      <w:pPr>
        <w:pStyle w:val="BodyText"/>
      </w:pPr>
      <w:r>
        <w:rPr>
          <w:b/>
          <w:bCs/>
        </w:rPr>
        <w:t xml:space="preserve">OBJECTIVE 1 — Customer Success (GTM)</w:t>
      </w:r>
    </w:p>
    <w:p>
      <w:pPr>
        <w:pStyle w:val="BodyText"/>
      </w:pPr>
      <w:r>
        <w:rPr>
          <w:i/>
          <w:iCs/>
        </w:rPr>
        <w:t xml:space="preserve">Deepen always-on subscription across the full security org</w:t>
      </w:r>
    </w:p>
    <w:p>
      <w:pPr>
        <w:pStyle w:val="BodyText"/>
      </w:pPr>
      <w:r>
        <w:rPr>
          <w:b/>
          <w:bCs/>
        </w:rPr>
        <w:t xml:space="preserve">Key Results</w:t>
      </w:r>
    </w:p>
    <w:p>
      <w:pPr>
        <w:numPr>
          <w:ilvl w:val="0"/>
          <w:numId w:val="1001"/>
        </w:numPr>
      </w:pPr>
      <w:r>
        <w:t xml:space="preserve">Lift NRR from ~110% to 118% via seat expansion</w:t>
      </w:r>
    </w:p>
    <w:p>
      <w:pPr>
        <w:numPr>
          <w:ilvl w:val="0"/>
          <w:numId w:val="1001"/>
        </w:numPr>
      </w:pPr>
      <w:r>
        <w:t xml:space="preserve">Raise expansion share of new ARR to 40%</w:t>
      </w:r>
    </w:p>
    <w:p>
      <w:pPr>
        <w:pStyle w:val="FirstParagraph"/>
      </w:pPr>
      <w:r>
        <w:rPr>
          <w:b/>
          <w:bCs/>
        </w:rPr>
        <w:t xml:space="preserve">OBJECTIVE 2 — People / Delivery (Org / Build)</w:t>
      </w:r>
    </w:p>
    <w:p>
      <w:pPr>
        <w:pStyle w:val="BodyText"/>
      </w:pPr>
      <w:r>
        <w:rPr>
          <w:i/>
          <w:iCs/>
        </w:rPr>
        <w:t xml:space="preserve">Scale the Faculty network without diluting one-to-one trust</w:t>
      </w:r>
    </w:p>
    <w:p>
      <w:pPr>
        <w:pStyle w:val="BodyText"/>
      </w:pPr>
      <w:r>
        <w:rPr>
          <w:b/>
          <w:bCs/>
        </w:rPr>
        <w:t xml:space="preserve">Key Results</w:t>
      </w:r>
    </w:p>
    <w:p>
      <w:pPr>
        <w:numPr>
          <w:ilvl w:val="0"/>
          <w:numId w:val="1002"/>
        </w:numPr>
      </w:pPr>
      <w:r>
        <w:t xml:space="preserve">Grow active Faculty 25% while holding CSAT on 1:1 sessions</w:t>
      </w:r>
    </w:p>
    <w:p>
      <w:pPr>
        <w:numPr>
          <w:ilvl w:val="0"/>
          <w:numId w:val="1002"/>
        </w:numPr>
      </w:pPr>
      <w:r>
        <w:t xml:space="preserve">Reduce key-person concentration: no Faculty member above a set share of delivered hours</w:t>
      </w:r>
    </w:p>
    <w:p>
      <w:pPr>
        <w:pStyle w:val="FirstParagraph"/>
      </w:pPr>
      <w:r>
        <w:rPr>
          <w:i/>
          <w:iCs/>
        </w:rPr>
        <w:t xml:space="preserve">Prepared for demonstration purposes only. This one-pager was generated as an illustrative sample to showcase a standardized OKR format. It is not investment advice and not the product of formal due diligence. Targets are illustrative planning placeholders and have not been independently verified. No affiliation with, or endorsement by, any company named herein is implied.</w:t>
      </w:r>
    </w:p>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2026-07-16T22:13:53Z</dcterms:created>
  <dcterms:modified xsi:type="dcterms:W3CDTF">2026-07-16T22:13:53Z</dcterms:modified>
</cp:coreProperties>
</file>

<file path=docProps/custom.xml><?xml version="1.0" encoding="utf-8"?>
<Properties xmlns="http://schemas.openxmlformats.org/officeDocument/2006/custom-properties" xmlns:vt="http://schemas.openxmlformats.org/officeDocument/2006/docPropsVTypes"/>
</file>