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OKRs • ONE-PAGER</w:t>
      </w:r>
    </w:p>
    <w:p>
      <w:pPr>
        <w:pStyle w:val="BodyText"/>
      </w:pPr>
      <w:r>
        <w:rPr>
          <w:b/>
          <w:bCs/>
        </w:rPr>
        <w:t xml:space="preserve">G2</w:t>
      </w:r>
    </w:p>
    <w:p>
      <w:pPr>
        <w:pStyle w:val="BodyText"/>
      </w:pPr>
      <w:r>
        <w:rPr>
          <w:i/>
          <w:iCs/>
        </w:rPr>
        <w:t xml:space="preserve">Objectives &amp; Key Results — FY2026 · set at different functions and altitudes</w:t>
      </w:r>
    </w:p>
    <w:p>
      <w:pPr>
        <w:pStyle w:val="BodyText"/>
      </w:pPr>
      <w:r>
        <w:rPr>
          <w:b/>
          <w:bCs/>
        </w:rPr>
        <w:t xml:space="preserve">OBJECTIVE 1 — Product / Data (Build)</w:t>
      </w:r>
    </w:p>
    <w:p>
      <w:pPr>
        <w:pStyle w:val="BodyText"/>
      </w:pPr>
      <w:r>
        <w:rPr>
          <w:i/>
          <w:iCs/>
        </w:rPr>
        <w:t xml:space="preserve">Make buyer-intent data the industry GTM signal layer</w:t>
      </w:r>
    </w:p>
    <w:p>
      <w:pPr>
        <w:pStyle w:val="BodyText"/>
      </w:pPr>
      <w:r>
        <w:rPr>
          <w:b/>
          <w:bCs/>
        </w:rPr>
        <w:t xml:space="preserve">Key Results</w:t>
      </w:r>
    </w:p>
    <w:p>
      <w:pPr>
        <w:numPr>
          <w:ilvl w:val="0"/>
          <w:numId w:val="1001"/>
        </w:numPr>
      </w:pPr>
      <w:r>
        <w:t xml:space="preserve">Grow intent-data revenue share from 30% to 40%</w:t>
      </w:r>
    </w:p>
    <w:p>
      <w:pPr>
        <w:numPr>
          <w:ilvl w:val="0"/>
          <w:numId w:val="1001"/>
        </w:numPr>
      </w:pPr>
      <w:r>
        <w:t xml:space="preserve">Ship native integrations into the top-5 vendor GTM stacks</w:t>
      </w:r>
    </w:p>
    <w:p>
      <w:pPr>
        <w:pStyle w:val="FirstParagraph"/>
      </w:pPr>
      <w:r>
        <w:rPr>
          <w:b/>
          <w:bCs/>
        </w:rPr>
        <w:t xml:space="preserve">OBJECTIVE 2 — Marketing / Customer Knowledge (GTM)</w:t>
      </w:r>
    </w:p>
    <w:p>
      <w:pPr>
        <w:pStyle w:val="BodyText"/>
      </w:pPr>
      <w:r>
        <w:rPr>
          <w:i/>
          <w:iCs/>
        </w:rPr>
        <w:t xml:space="preserve">Defend the review-and-traffic flywheel against AI-search disruption</w:t>
      </w:r>
    </w:p>
    <w:p>
      <w:pPr>
        <w:pStyle w:val="BodyText"/>
      </w:pPr>
      <w:r>
        <w:rPr>
          <w:b/>
          <w:bCs/>
        </w:rPr>
        <w:t xml:space="preserve">Key Results</w:t>
      </w:r>
    </w:p>
    <w:p>
      <w:pPr>
        <w:numPr>
          <w:ilvl w:val="0"/>
          <w:numId w:val="1002"/>
        </w:numPr>
      </w:pPr>
      <w:r>
        <w:t xml:space="preserve">Grow non-paid inbound share of buyer traffic despite AI answer engines</w:t>
      </w:r>
    </w:p>
    <w:p>
      <w:pPr>
        <w:numPr>
          <w:ilvl w:val="0"/>
          <w:numId w:val="1002"/>
        </w:numPr>
      </w:pPr>
      <w:r>
        <w:t xml:space="preserve">Position the dataset as the trusted source layer for 3 major AI research tools</w:t>
      </w:r>
    </w:p>
    <w:p>
      <w:pPr>
        <w:pStyle w:val="FirstParagraph"/>
      </w:pPr>
      <w:r>
        <w:rPr>
          <w:i/>
          <w:iCs/>
        </w:rPr>
        <w:t xml:space="preserve">Prepared for demonstration purposes only. This one-pager was generated as an illustrative sample to showcase a standardized OKR format. It is not investment advice and not the product of formal due diligence. Targets are illustrative planning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