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OKRs • ONE-PAGER</w:t>
      </w:r>
    </w:p>
    <w:p>
      <w:pPr>
        <w:pStyle w:val="BodyText"/>
      </w:pPr>
      <w:r>
        <w:rPr>
          <w:b/>
          <w:bCs/>
        </w:rPr>
        <w:t xml:space="preserve">Datos Insights</w:t>
      </w:r>
    </w:p>
    <w:p>
      <w:pPr>
        <w:pStyle w:val="BodyText"/>
      </w:pPr>
      <w:r>
        <w:rPr>
          <w:i/>
          <w:iCs/>
        </w:rPr>
        <w:t xml:space="preserve">Objectives &amp; Key Results — FY2026 · set at different functions and altitudes</w:t>
      </w:r>
    </w:p>
    <w:p>
      <w:pPr>
        <w:pStyle w:val="BodyText"/>
      </w:pPr>
      <w:r>
        <w:rPr>
          <w:b/>
          <w:bCs/>
        </w:rPr>
        <w:t xml:space="preserve">OBJECTIVE 1 — Customer Success (GTM)</w:t>
      </w:r>
    </w:p>
    <w:p>
      <w:pPr>
        <w:pStyle w:val="BodyText"/>
      </w:pPr>
      <w:r>
        <w:rPr>
          <w:i/>
          <w:iCs/>
        </w:rPr>
        <w:t xml:space="preserve">Convert open-access seats into durable net-retention expansion</w:t>
      </w:r>
    </w:p>
    <w:p>
      <w:pPr>
        <w:pStyle w:val="BodyText"/>
      </w:pPr>
      <w:r>
        <w:rPr>
          <w:b/>
          <w:bCs/>
        </w:rPr>
        <w:t xml:space="preserve">Key Results</w:t>
      </w:r>
    </w:p>
    <w:p>
      <w:pPr>
        <w:numPr>
          <w:ilvl w:val="0"/>
          <w:numId w:val="1001"/>
        </w:numPr>
      </w:pPr>
      <w:r>
        <w:t xml:space="preserve">Lift NRR from ~108% to 115% across the top-100 FI accounts</w:t>
      </w:r>
    </w:p>
    <w:p>
      <w:pPr>
        <w:numPr>
          <w:ilvl w:val="0"/>
          <w:numId w:val="1001"/>
        </w:numPr>
      </w:pPr>
      <w:r>
        <w:t xml:space="preserve">Raise expansion-revenue share of new ARR to 35%</w:t>
      </w:r>
    </w:p>
    <w:p>
      <w:pPr>
        <w:pStyle w:val="FirstParagraph"/>
      </w:pPr>
      <w:r>
        <w:rPr>
          <w:b/>
          <w:bCs/>
        </w:rPr>
        <w:t xml:space="preserve">OBJECTIVE 2 — Product / Data (Build)</w:t>
      </w:r>
    </w:p>
    <w:p>
      <w:pPr>
        <w:pStyle w:val="BodyText"/>
      </w:pPr>
      <w:r>
        <w:rPr>
          <w:i/>
          <w:iCs/>
        </w:rPr>
        <w:t xml:space="preserve">Stand up the RBR data heritage as a productized subscription</w:t>
      </w:r>
    </w:p>
    <w:p>
      <w:pPr>
        <w:pStyle w:val="BodyText"/>
      </w:pPr>
      <w:r>
        <w:rPr>
          <w:b/>
          <w:bCs/>
        </w:rPr>
        <w:t xml:space="preserve">Key Results</w:t>
      </w:r>
    </w:p>
    <w:p>
      <w:pPr>
        <w:numPr>
          <w:ilvl w:val="0"/>
          <w:numId w:val="1002"/>
        </w:numPr>
      </w:pPr>
      <w:r>
        <w:t xml:space="preserve">Ship 2 productized data subscriptions distinct from advisory</w:t>
      </w:r>
    </w:p>
    <w:p>
      <w:pPr>
        <w:numPr>
          <w:ilvl w:val="0"/>
          <w:numId w:val="1002"/>
        </w:numPr>
      </w:pPr>
      <w:r>
        <w:t xml:space="preserve">Grow data-product revenue to 25% of total</w:t>
      </w:r>
    </w:p>
    <w:p>
      <w:pPr>
        <w:pStyle w:val="FirstParagraph"/>
      </w:pPr>
      <w:r>
        <w:rPr>
          <w:i/>
          <w:iCs/>
        </w:rPr>
        <w:t xml:space="preserve">Prepared for demonstration purposes only. This one-pager was generated as an illustrative sample to showcase a standardized OKR format. It is not investment advice and not the product of formal due diligence. Targets are illustrative planning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