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OKRs • ONE-PAGER</w:t>
      </w:r>
    </w:p>
    <w:p>
      <w:pPr>
        <w:pStyle w:val="BodyText"/>
      </w:pPr>
      <w:r>
        <w:rPr>
          <w:b/>
          <w:bCs/>
        </w:rPr>
        <w:t xml:space="preserve">Charter Impact</w:t>
      </w:r>
    </w:p>
    <w:p>
      <w:pPr>
        <w:pStyle w:val="BodyText"/>
      </w:pPr>
      <w:r>
        <w:rPr>
          <w:i/>
          <w:iCs/>
        </w:rPr>
        <w:t xml:space="preserve">Objectives &amp; Key Results — FY2026 · set at different functions and altitudes</w:t>
      </w:r>
    </w:p>
    <w:p>
      <w:pPr>
        <w:pStyle w:val="BodyText"/>
      </w:pPr>
      <w:r>
        <w:rPr>
          <w:b/>
          <w:bCs/>
        </w:rPr>
        <w:t xml:space="preserve">OBJECTIVE 1 — Delivery / Scale (Build / Org)</w:t>
      </w:r>
    </w:p>
    <w:p>
      <w:pPr>
        <w:pStyle w:val="BodyText"/>
      </w:pPr>
      <w:r>
        <w:rPr>
          <w:i/>
          <w:iCs/>
        </w:rPr>
        <w:t xml:space="preserve">Standardize delivery so the model scales without breaking</w:t>
      </w:r>
    </w:p>
    <w:p>
      <w:pPr>
        <w:pStyle w:val="BodyText"/>
      </w:pPr>
      <w:r>
        <w:rPr>
          <w:b/>
          <w:bCs/>
        </w:rPr>
        <w:t xml:space="preserve">Key Results</w:t>
      </w:r>
    </w:p>
    <w:p>
      <w:pPr>
        <w:numPr>
          <w:ilvl w:val="0"/>
          <w:numId w:val="1001"/>
        </w:numPr>
      </w:pPr>
      <w:r>
        <w:t xml:space="preserve">Document core delivery processes to 90% coverage</w:t>
      </w:r>
    </w:p>
    <w:p>
      <w:pPr>
        <w:numPr>
          <w:ilvl w:val="0"/>
          <w:numId w:val="1001"/>
        </w:numPr>
      </w:pPr>
      <w:r>
        <w:t xml:space="preserve">Cut per-client labor hours 15% via standardization/automation</w:t>
      </w:r>
    </w:p>
    <w:p>
      <w:pPr>
        <w:pStyle w:val="FirstParagraph"/>
      </w:pPr>
      <w:r>
        <w:rPr>
          <w:b/>
          <w:bCs/>
        </w:rPr>
        <w:t xml:space="preserve">OBJECTIVE 2 — Customer Success (GTM)</w:t>
      </w:r>
    </w:p>
    <w:p>
      <w:pPr>
        <w:pStyle w:val="BodyText"/>
      </w:pPr>
      <w:r>
        <w:rPr>
          <w:i/>
          <w:iCs/>
        </w:rPr>
        <w:t xml:space="preserve">Protect the sticky recurring base and expand within accounts</w:t>
      </w:r>
    </w:p>
    <w:p>
      <w:pPr>
        <w:pStyle w:val="BodyText"/>
      </w:pPr>
      <w:r>
        <w:rPr>
          <w:b/>
          <w:bCs/>
        </w:rPr>
        <w:t xml:space="preserve">Key Results</w:t>
      </w:r>
    </w:p>
    <w:p>
      <w:pPr>
        <w:numPr>
          <w:ilvl w:val="0"/>
          <w:numId w:val="1002"/>
        </w:numPr>
      </w:pPr>
      <w:r>
        <w:t xml:space="preserve">Hold logo churn below target through the funding cycle</w:t>
      </w:r>
    </w:p>
    <w:p>
      <w:pPr>
        <w:numPr>
          <w:ilvl w:val="0"/>
          <w:numId w:val="1002"/>
        </w:numPr>
      </w:pPr>
      <w:r>
        <w:t xml:space="preserve">Cross-sell a second service line into 30% of existing clients</w:t>
      </w:r>
    </w:p>
    <w:p>
      <w:pPr>
        <w:pStyle w:val="FirstParagraph"/>
      </w:pPr>
      <w:r>
        <w:rPr>
          <w:i/>
          <w:iCs/>
        </w:rPr>
        <w:t xml:space="preserve">Prepared for demonstration purposes only. This one-pager was generated as an illustrative sample to showcase a standardized OKR format. It is not investment advice and not the product of formal due diligence. Targets are illustrative planning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